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E1F" w:rsidRPr="00733E1F" w:rsidRDefault="00733E1F" w:rsidP="00733E1F">
      <w:pPr>
        <w:ind w:left="1843" w:right="1983"/>
        <w:jc w:val="both"/>
        <w:rPr>
          <w:rFonts w:ascii="Tahoma" w:hAnsi="Tahoma" w:cs="Tahoma"/>
          <w:i/>
          <w:sz w:val="20"/>
          <w:szCs w:val="20"/>
        </w:rPr>
      </w:pPr>
      <w:r w:rsidRPr="00733E1F">
        <w:rPr>
          <w:rFonts w:ascii="Tahoma" w:hAnsi="Tahoma" w:cs="Tahoma"/>
          <w:b/>
          <w:i/>
          <w:sz w:val="20"/>
          <w:szCs w:val="20"/>
        </w:rPr>
        <w:t>Sumilla   :</w:t>
      </w:r>
      <w:r w:rsidRPr="00733E1F">
        <w:rPr>
          <w:rFonts w:ascii="Tahoma" w:hAnsi="Tahoma" w:cs="Tahoma"/>
          <w:i/>
          <w:sz w:val="20"/>
          <w:szCs w:val="20"/>
        </w:rPr>
        <w:t xml:space="preserve"> </w:t>
      </w:r>
      <w:r w:rsidRPr="00733E1F">
        <w:rPr>
          <w:rFonts w:ascii="Tahoma" w:hAnsi="Tahoma" w:cs="Tahoma"/>
          <w:i/>
          <w:sz w:val="20"/>
          <w:szCs w:val="20"/>
        </w:rPr>
        <w:tab/>
        <w:t>“</w:t>
      </w:r>
      <w:r w:rsidRPr="00733E1F">
        <w:rPr>
          <w:rFonts w:ascii="Tahoma" w:hAnsi="Tahoma" w:cs="Tahoma"/>
          <w:i/>
          <w:color w:val="000000" w:themeColor="text1"/>
          <w:sz w:val="20"/>
          <w:szCs w:val="20"/>
        </w:rPr>
        <w:t xml:space="preserve">En consecuencia, en base a los criterios antes indicados, corresponde declarar fundado el recurso de reconsideración interpuesto por la </w:t>
      </w:r>
      <w:r w:rsidRPr="00733E1F">
        <w:rPr>
          <w:rFonts w:ascii="Tahoma" w:hAnsi="Tahoma" w:cs="Tahoma"/>
          <w:i/>
          <w:sz w:val="20"/>
          <w:szCs w:val="20"/>
        </w:rPr>
        <w:t>empresa DITRANSERVA S.A.C</w:t>
      </w:r>
      <w:r w:rsidRPr="00733E1F">
        <w:rPr>
          <w:rFonts w:ascii="Tahoma" w:hAnsi="Tahoma" w:cs="Tahoma"/>
          <w:sz w:val="22"/>
          <w:szCs w:val="22"/>
        </w:rPr>
        <w:t>.</w:t>
      </w:r>
    </w:p>
    <w:p w:rsidR="00AD08AD" w:rsidRPr="00733E1F" w:rsidRDefault="00AD08AD" w:rsidP="00AD08AD">
      <w:pPr>
        <w:pStyle w:val="Textoindependiente3"/>
        <w:spacing w:after="0"/>
        <w:ind w:left="5387"/>
        <w:jc w:val="both"/>
        <w:rPr>
          <w:rFonts w:ascii="Tahoma" w:hAnsi="Tahoma" w:cs="Tahoma"/>
          <w:b/>
          <w:sz w:val="23"/>
          <w:szCs w:val="23"/>
          <w:lang w:val="es-ES"/>
        </w:rPr>
      </w:pPr>
    </w:p>
    <w:p w:rsidR="00AD08AD" w:rsidRPr="00C2131F" w:rsidRDefault="00AD08AD" w:rsidP="00AD08AD">
      <w:pPr>
        <w:pStyle w:val="Textoindependiente3"/>
        <w:spacing w:after="0"/>
        <w:ind w:left="5387"/>
        <w:jc w:val="both"/>
        <w:rPr>
          <w:rFonts w:ascii="Tahoma" w:hAnsi="Tahoma" w:cs="Tahoma"/>
          <w:b/>
          <w:sz w:val="23"/>
          <w:szCs w:val="23"/>
        </w:rPr>
      </w:pPr>
      <w:r w:rsidRPr="00C2131F">
        <w:rPr>
          <w:rFonts w:ascii="Tahoma" w:hAnsi="Tahoma" w:cs="Tahoma"/>
          <w:b/>
          <w:sz w:val="23"/>
          <w:szCs w:val="23"/>
        </w:rPr>
        <w:t>Lima,</w:t>
      </w:r>
      <w:r w:rsidR="0070633F">
        <w:rPr>
          <w:rFonts w:ascii="Tahoma" w:hAnsi="Tahoma" w:cs="Tahoma"/>
          <w:b/>
          <w:sz w:val="23"/>
          <w:szCs w:val="23"/>
        </w:rPr>
        <w:t xml:space="preserve"> 21 de Julio de 2011</w:t>
      </w:r>
    </w:p>
    <w:p w:rsidR="00733E1F" w:rsidRPr="0064054D" w:rsidRDefault="00733E1F" w:rsidP="00733E1F">
      <w:pPr>
        <w:pStyle w:val="Textoindependiente3"/>
        <w:spacing w:after="0"/>
        <w:ind w:left="5387"/>
        <w:jc w:val="both"/>
        <w:rPr>
          <w:rFonts w:ascii="Tahoma" w:hAnsi="Tahoma" w:cs="Tahoma"/>
          <w:b/>
          <w:sz w:val="23"/>
          <w:szCs w:val="23"/>
        </w:rPr>
      </w:pPr>
    </w:p>
    <w:p w:rsidR="00733E1F" w:rsidRPr="00A704A4" w:rsidRDefault="00733E1F" w:rsidP="00733E1F">
      <w:pPr>
        <w:widowControl w:val="0"/>
        <w:suppressAutoHyphens/>
        <w:ind w:firstLine="851"/>
        <w:jc w:val="both"/>
        <w:rPr>
          <w:rFonts w:ascii="Tahoma" w:hAnsi="Tahoma" w:cs="Tahoma"/>
          <w:sz w:val="23"/>
          <w:szCs w:val="23"/>
        </w:rPr>
      </w:pPr>
      <w:r w:rsidRPr="00A704A4">
        <w:rPr>
          <w:rFonts w:ascii="Tahoma" w:hAnsi="Tahoma" w:cs="Tahoma"/>
          <w:b/>
          <w:sz w:val="23"/>
          <w:szCs w:val="23"/>
        </w:rPr>
        <w:t xml:space="preserve">Visto </w:t>
      </w:r>
      <w:r w:rsidRPr="00A704A4">
        <w:rPr>
          <w:rFonts w:ascii="Tahoma" w:hAnsi="Tahoma" w:cs="Tahoma"/>
          <w:sz w:val="23"/>
          <w:szCs w:val="23"/>
        </w:rPr>
        <w:t xml:space="preserve">en sesión de fecha 20 de julio de 2011 la Primera Sala del Tribunal de Contrataciones del Estado el Expediente N° 2855-2007-TC sobre el recurso de reconsideración interpuesto por la empresa DITRANSERVA S.A.C. contra la Resolución Nº 1796-2010-TC-S1 de fecha 24 de setiembre del 2010. </w:t>
      </w:r>
    </w:p>
    <w:p w:rsidR="00AD08AD" w:rsidRPr="00A704A4" w:rsidRDefault="00AD08AD" w:rsidP="00AD08AD">
      <w:pPr>
        <w:ind w:firstLine="567"/>
        <w:contextualSpacing/>
        <w:jc w:val="both"/>
        <w:rPr>
          <w:rFonts w:ascii="Tahoma" w:hAnsi="Tahoma" w:cs="Tahoma"/>
          <w:b/>
          <w:sz w:val="23"/>
          <w:szCs w:val="23"/>
        </w:rPr>
      </w:pPr>
    </w:p>
    <w:p w:rsidR="00AD08AD" w:rsidRPr="00A704A4" w:rsidRDefault="00AD08AD" w:rsidP="00AD08AD">
      <w:pPr>
        <w:pStyle w:val="Prrafodelista"/>
        <w:ind w:left="567"/>
        <w:rPr>
          <w:rFonts w:ascii="Tahoma" w:hAnsi="Tahoma" w:cs="Tahoma"/>
          <w:b/>
          <w:sz w:val="23"/>
          <w:szCs w:val="23"/>
        </w:rPr>
      </w:pPr>
      <w:r w:rsidRPr="00A704A4">
        <w:rPr>
          <w:rFonts w:ascii="Tahoma" w:hAnsi="Tahoma" w:cs="Tahoma"/>
          <w:b/>
          <w:sz w:val="23"/>
          <w:szCs w:val="23"/>
        </w:rPr>
        <w:t>ANTECEDENTES:</w:t>
      </w:r>
    </w:p>
    <w:p w:rsidR="00AD08AD" w:rsidRPr="00A704A4" w:rsidRDefault="00AD08AD" w:rsidP="00AD08AD">
      <w:pPr>
        <w:jc w:val="both"/>
        <w:rPr>
          <w:rFonts w:ascii="Tahoma" w:hAnsi="Tahoma" w:cs="Tahoma"/>
          <w:b/>
          <w:sz w:val="23"/>
          <w:szCs w:val="23"/>
          <w:lang w:eastAsia="es-PE"/>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El 20 de julio de 2007, la Municipalidad de Miraflores, en lo sucesivo la Entidad, convocó la Adjudicación Directa Pública Nº 001-2007-CE/MM, según relación de ítems, para el suministro de materiales de construcción, con un valor referencial ascendente a S/ 238,383.60 (Doscientos treinta y ocho mil trescientos ochenta y tres con 60/100 nuevos soles) incluido el Impuesto General a las Ventas (IGV).</w:t>
      </w:r>
    </w:p>
    <w:p w:rsidR="00AD08AD" w:rsidRPr="00A704A4" w:rsidRDefault="00AD08AD" w:rsidP="00AD08AD">
      <w:pPr>
        <w:jc w:val="both"/>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El 8 de agosto de 2007, se realizó la presentación de propuestas, participando en el ítem Nº 2 la empresa ARIES COMERCIAL S.A.C. y la empresa DITRANSERVA S.A.C.</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EL 10 de agosto de 2007, el Comité Especial del proceso de selección otorgó la buena pro del ítem 2 a la empresa DITRANSERVA S.A.C., en adelante el Postor, por su propuesta ascendente a la suma total de S/. 187, 370.40 (Ciento ochenta y siete mil trescientos setenta con 40/100 nuevos soles).</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Carta Nº 357-2007-GL/MM de fecha 24 de agosto de 2007, remitida vía fax el 27 del mismo mes y año, la Entidad citó al Postor para que en el plazo de diez (10) días se presentara a suscribir el contrato con la documentación pertinente.</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Carta Nº 0110-2007-G.G de fecha 14 de setiembre de 2007, remitida vía fax en la misma fecha, el Postor comunicó a la Entidad su imposibilidad de suscribir el contrato, por un incremento del 25% en el precio del cemento asfáltico.</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 xml:space="preserve">Mediante Oficio Nº 381-2007-GL/MM de fecha 21 de setiembre de 2007, recibido el 27 del mismo mes y mismo año, la Entidad comunicó al Tribunal de Contrataciones y Adquisiciones del Estado (hoy Tribunal de Contrataciones </w:t>
      </w:r>
      <w:r w:rsidRPr="00A704A4">
        <w:rPr>
          <w:rFonts w:ascii="Tahoma" w:hAnsi="Tahoma" w:cs="Tahoma"/>
          <w:sz w:val="23"/>
          <w:szCs w:val="23"/>
        </w:rPr>
        <w:lastRenderedPageBreak/>
        <w:t>del Estado), en adelante el Tribunal, que el Postor no se presentó a firmar el contrato respectivo derivado del proceso de selección materia de autos.</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 xml:space="preserve">Mediante decreto de fecha 28 de setiembre de 2007, notificado el 29 de octubre del mismo año, previo al inicio del procedimiento sancionador, se solicitó a la Entidad que remita copia de la carta mediante la cual citó al Consorcio para la suscripción del contrato, debiendo constar de manera legible la fecha de recepción, copia de los antecedentes administrativos, entre otros. </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Oficio Nº 06-2007-GL/MM de fecha 14 de noviembre de 2007, recibido en la misma fecha, la Entidad cumplió con remitir lo solicitado por lo que mediante decreto de fecha 19 de noviembre de 2007, notificado el 30 de enero de 2008, se dispuso el inicio del procedimiento sancionador contra el Postor por su presunta responsabilidad en la no suscripción injustificada del contrato, a pesar de haber sido favorecido con la buena pro del proceso de selección materia de autos, otorgándole un plazo de diez (10) días para que presente sus descargos, bajo apercibimiento de resolver con la documentación obrante en autos.</w:t>
      </w:r>
    </w:p>
    <w:p w:rsidR="00AD08AD" w:rsidRPr="00A704A4" w:rsidRDefault="00AD08AD" w:rsidP="00AD08AD">
      <w:pPr>
        <w:jc w:val="both"/>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El 4 de febrero de 2008, el Postor se apersonó al presente procedimiento sancionador y presentó sus descargos manifestando lo siguiente:</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7"/>
        </w:numPr>
        <w:suppressAutoHyphens/>
        <w:ind w:left="1134" w:hanging="567"/>
        <w:jc w:val="both"/>
        <w:rPr>
          <w:rFonts w:ascii="Tahoma" w:hAnsi="Tahoma" w:cs="Tahoma"/>
          <w:sz w:val="23"/>
          <w:szCs w:val="23"/>
        </w:rPr>
      </w:pPr>
      <w:r w:rsidRPr="00A704A4">
        <w:rPr>
          <w:rFonts w:ascii="Tahoma" w:hAnsi="Tahoma" w:cs="Tahoma"/>
          <w:sz w:val="23"/>
          <w:szCs w:val="23"/>
        </w:rPr>
        <w:t>Que, la Entidad no había cumplido con lo establecido en el artículo 203 del Reglamento de la Ley de Contrataciones y Adquisiciones del Estado, aprobado mediante Decreto Supremo Nº 084-2004-PCM, pues el otorgamiento de la buena pro y el consentimiento de la misma, se realizó el 10 de agosto de 2007, y al haber sido citado el 27 de agosto de 2007, la Entidad no cumplió con citarlos dentro de los dos días hábiles siguientes del consentimiento de la buena pro.</w:t>
      </w:r>
    </w:p>
    <w:p w:rsidR="00AD08AD" w:rsidRPr="00A704A4" w:rsidRDefault="00AD08AD" w:rsidP="00AD08AD">
      <w:pPr>
        <w:ind w:left="1134"/>
        <w:jc w:val="both"/>
        <w:rPr>
          <w:rFonts w:ascii="Tahoma" w:hAnsi="Tahoma" w:cs="Tahoma"/>
          <w:sz w:val="23"/>
          <w:szCs w:val="23"/>
        </w:rPr>
      </w:pPr>
    </w:p>
    <w:p w:rsidR="00AD08AD" w:rsidRPr="00A704A4" w:rsidRDefault="00AD08AD" w:rsidP="00AD08AD">
      <w:pPr>
        <w:widowControl w:val="0"/>
        <w:numPr>
          <w:ilvl w:val="0"/>
          <w:numId w:val="7"/>
        </w:numPr>
        <w:suppressAutoHyphens/>
        <w:ind w:left="1134" w:hanging="567"/>
        <w:jc w:val="both"/>
        <w:rPr>
          <w:rFonts w:ascii="Tahoma" w:hAnsi="Tahoma" w:cs="Tahoma"/>
          <w:sz w:val="23"/>
          <w:szCs w:val="23"/>
        </w:rPr>
      </w:pPr>
      <w:r w:rsidRPr="00A704A4">
        <w:rPr>
          <w:rFonts w:ascii="Tahoma" w:hAnsi="Tahoma" w:cs="Tahoma"/>
          <w:sz w:val="23"/>
          <w:szCs w:val="23"/>
        </w:rPr>
        <w:t>Asimismo, agregó que comunicó a la Entidad la justificación de no suscripción del contrato, la misma que estaba referida al incremento de 25% en el precio del cemento asfáltico en caliente, así como del Petróleo Diesel.</w:t>
      </w:r>
    </w:p>
    <w:p w:rsidR="00AD08AD" w:rsidRPr="00A704A4" w:rsidRDefault="00AD08AD" w:rsidP="00AD08AD">
      <w:pPr>
        <w:ind w:left="1134"/>
        <w:jc w:val="both"/>
        <w:rPr>
          <w:rFonts w:ascii="Tahoma" w:hAnsi="Tahoma" w:cs="Tahoma"/>
          <w:sz w:val="23"/>
          <w:szCs w:val="23"/>
          <w:highlight w:val="yellow"/>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lang w:val="es-PE"/>
        </w:rPr>
        <w:t>Mediante decreto de fecha 30 de marzo de 2010, se dispuso reasignar y remitir el presente expediente a la Primera Sala del Tribunal, en vista de la designación de Vocales y de la conformación de las Salas del Tribunal, realizadas mediante Resolución Nº 044-2010-EF de fecha 23 de marzo de 2010 y Resolución Nº 190-2010-OSCE/PRE de fecha 29 de marzo de 2010, respectivamente.</w:t>
      </w:r>
    </w:p>
    <w:p w:rsidR="00AD08AD" w:rsidRPr="00A704A4" w:rsidRDefault="00AD08AD" w:rsidP="00AD08AD">
      <w:pPr>
        <w:ind w:left="540"/>
        <w:jc w:val="both"/>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lastRenderedPageBreak/>
        <w:t>A través de la Resolución Nº 1796-2010-TC-S1 de fecha 24 de setiembre del 2010, se dispuso imponer al Postor la sanción administrativa de inhabilitación temporal por el periodo de quince (15) meses, en sus derechos de participar en procesos de selección y contratar con el Estado, por incurrir en la infracción tipificada en el numeral 1) del artículo 294 del Reglamento de la Ley de Contrataciones y Adquisiciones del Estado.</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Con escrito presentado el 18 de abril del 2011, el Postor solicitó que se declare la nulidad de la Resolución Nº 1796-2010-TC-S1 de fecha 24 de setiembre del 2010, bajo los siguiente argumentos:</w:t>
      </w:r>
    </w:p>
    <w:p w:rsidR="00AD08AD" w:rsidRPr="00A704A4" w:rsidRDefault="00AD08AD" w:rsidP="00AD08AD">
      <w:pPr>
        <w:rPr>
          <w:rFonts w:ascii="Tahoma" w:hAnsi="Tahoma" w:cs="Tahoma"/>
          <w:sz w:val="23"/>
          <w:szCs w:val="23"/>
        </w:rPr>
      </w:pPr>
    </w:p>
    <w:p w:rsidR="00AD08AD" w:rsidRPr="00A704A4" w:rsidRDefault="00AD08AD" w:rsidP="00AD08AD">
      <w:pPr>
        <w:ind w:left="540"/>
        <w:jc w:val="both"/>
        <w:rPr>
          <w:rFonts w:ascii="Tahoma" w:hAnsi="Tahoma" w:cs="Tahoma"/>
          <w:b/>
          <w:sz w:val="23"/>
          <w:szCs w:val="23"/>
        </w:rPr>
      </w:pPr>
      <w:r w:rsidRPr="00A704A4">
        <w:rPr>
          <w:rFonts w:ascii="Tahoma" w:hAnsi="Tahoma" w:cs="Tahoma"/>
          <w:b/>
          <w:sz w:val="23"/>
          <w:szCs w:val="23"/>
        </w:rPr>
        <w:t>Respecto a la indebida notificación de la citación para la suscripción del contrato</w:t>
      </w:r>
    </w:p>
    <w:p w:rsidR="00AD08AD" w:rsidRPr="00A704A4" w:rsidRDefault="00AD08AD" w:rsidP="00AD08AD">
      <w:pPr>
        <w:jc w:val="both"/>
        <w:rPr>
          <w:rFonts w:ascii="Tahoma" w:hAnsi="Tahoma" w:cs="Tahoma"/>
          <w:b/>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La Resolución Nº 1796-2010-TC-S1 de fecha 24 de setiembre del 2010, ha pretendido justificar la notificación vía fax de la Carta Nº 357-2007-GL/MM de fecha 24 de agosto del 2007, mediante la cual se le citó para suscribir el contrato, al considerar que el acto de notificación se habría saneado en virtud a lo establecido en el numeral 27.2 del artículo 27 de la Ley del Procedimiento Administrativo General, Ley 27444; no obstante ello, no existe declaración jurada alguna mediante la cual los postores hayan autorizado a la Entidad a notificar los actos del proceso de selección a través de una modalidad distinta al Sistema Electrónico de Adquisiciones y Contrataciones del Estado (SEACE) o la normativa personas prevista en la Ley del Procedimiento Administrativo General.</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Es preciso indicar que lo establecido en el Anexo Nº 02 “Declaración Jurada de Información Adicional” de las Bases Integradas del proceso, únicamente está referido a la información empresarial, por lo cual no se puede considerar como una autorización expresa para la notificación de los actos del proceso de selección a través de fax.</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Asimismo, el artículo 20 de la Ley Nº 27444 ha establecido a la notificación personal como la forma de notificación por excelencia, asimismo, dicha norma dispone que la autoridad no podrá suplir modalidad alguna con otra bajo sanción de nulidad de la notificación, es decir, que no podrá utilizarse las notificaciones mediante telegrama, telefax, correo electrónico o publicación en el Diario Oficial si no se ha agotado la notificación personal.</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 xml:space="preserve">De todo ello, se puede deducir que la Entidad cometió un vicio de nulidad en la notificación vía telefax, la misma que lo citó para la suscripción del contrato, toda vez que no utilizó la notificación personal </w:t>
      </w:r>
      <w:r w:rsidRPr="00A704A4">
        <w:rPr>
          <w:rFonts w:ascii="Tahoma" w:hAnsi="Tahoma" w:cs="Tahoma"/>
          <w:sz w:val="23"/>
          <w:szCs w:val="23"/>
        </w:rPr>
        <w:lastRenderedPageBreak/>
        <w:t>y, además, ha utilizado inapropiadamente la notificación vía telefax.</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 xml:space="preserve">Ahora bien, cabe agregar que la Resolución Nº 1796-2010-TC-S1 de fecha 24 de setiembre del 2010, ha mencionado que en caso se tratase de notificación defectuosa, ésta debería surtir efectos legales desde la fecha en que el interesado manifiesta expresamente haberla recibido, de acuerdo a lo establecido en el artículo 27 de la Ley Nº 27444; no obstante ello, dicho supuesto no puede ser aplicado al presente caso, toda vez que en la notificación realizada por la Entidad no adolece de sus requisitos, sino que su modalidad no debió ser empleada, por lo cual se trata de una notificación viciada o nula, la misma que no puede ser subsanada bajo ningún motivo o circunstancia. </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8"/>
        </w:numPr>
        <w:ind w:left="1134" w:hanging="567"/>
        <w:jc w:val="both"/>
        <w:rPr>
          <w:rFonts w:ascii="Tahoma" w:hAnsi="Tahoma" w:cs="Tahoma"/>
          <w:sz w:val="23"/>
          <w:szCs w:val="23"/>
        </w:rPr>
      </w:pPr>
      <w:r w:rsidRPr="00A704A4">
        <w:rPr>
          <w:rFonts w:ascii="Tahoma" w:hAnsi="Tahoma" w:cs="Tahoma"/>
          <w:sz w:val="23"/>
          <w:szCs w:val="23"/>
        </w:rPr>
        <w:t>En tal sentido, la resolución recurrida, ha transgredido lo dispuesto imperativamente en el artículo 20 de la Ley 27444, siendo además su motivación defectuosa en lo que respecta a la notificación de los actos administrativo, por lo cual se ha configurado las causales de nulidad establecidas en los numerales 1 y 2 del artículo 10 de dicha ley, máxime cuando el criterio asumido por la Primera Sala del Tribunal de Contrataciones del Estado es que la citación para la suscripción del contrato debe ser notificada personalmente; siendo que la utilización de otras modalidades de notificación constituye ineficaz si éstas no han sido autorizadas previamente por el postor o adjudicatario, tal como se advierte en el Acuerdo recaído en el expediente Nº 1016-2009.TC; por lo tanto, en virtud del Principio de Predictibilidad establecido en el numeral 1.15 del artículo IV de la Ley del Procedimiento Administrativo General, se debe declarar la nulidad de oficio de la Resolución Nº 1796-2010-TC-S1 de fecha 24 de setiembre del 2010.</w:t>
      </w:r>
    </w:p>
    <w:p w:rsidR="00AD08AD" w:rsidRPr="00A704A4" w:rsidRDefault="00AD08AD" w:rsidP="00AD08AD">
      <w:pPr>
        <w:tabs>
          <w:tab w:val="num" w:pos="9720"/>
        </w:tabs>
        <w:jc w:val="both"/>
        <w:rPr>
          <w:rFonts w:ascii="Tahoma" w:hAnsi="Tahoma" w:cs="Tahoma"/>
          <w:b/>
          <w:sz w:val="23"/>
          <w:szCs w:val="23"/>
        </w:rPr>
      </w:pPr>
    </w:p>
    <w:p w:rsidR="00AD08AD" w:rsidRPr="00A704A4" w:rsidRDefault="00AD08AD" w:rsidP="00AD08AD">
      <w:pPr>
        <w:ind w:left="540"/>
        <w:jc w:val="both"/>
        <w:rPr>
          <w:rFonts w:ascii="Tahoma" w:hAnsi="Tahoma" w:cs="Tahoma"/>
          <w:b/>
          <w:sz w:val="23"/>
          <w:szCs w:val="23"/>
        </w:rPr>
      </w:pPr>
      <w:r w:rsidRPr="00A704A4">
        <w:rPr>
          <w:rFonts w:ascii="Tahoma" w:hAnsi="Tahoma" w:cs="Tahoma"/>
          <w:b/>
          <w:sz w:val="23"/>
          <w:szCs w:val="23"/>
        </w:rPr>
        <w:t>Respecto a la aplicación indebida de la norma sobre el procedimiento para la suscripción del contrato</w:t>
      </w:r>
    </w:p>
    <w:p w:rsidR="00AD08AD" w:rsidRPr="00A704A4" w:rsidRDefault="00AD08AD" w:rsidP="00AD08AD">
      <w:pPr>
        <w:ind w:left="540"/>
        <w:jc w:val="both"/>
        <w:rPr>
          <w:rFonts w:ascii="Tahoma" w:hAnsi="Tahoma" w:cs="Tahoma"/>
          <w:b/>
          <w:sz w:val="23"/>
          <w:szCs w:val="23"/>
        </w:rPr>
      </w:pPr>
    </w:p>
    <w:p w:rsidR="00AD08AD" w:rsidRPr="00A704A4" w:rsidRDefault="00AD08AD" w:rsidP="00AD08AD">
      <w:pPr>
        <w:numPr>
          <w:ilvl w:val="0"/>
          <w:numId w:val="9"/>
        </w:numPr>
        <w:ind w:hanging="720"/>
        <w:jc w:val="both"/>
        <w:rPr>
          <w:rFonts w:ascii="Tahoma" w:hAnsi="Tahoma" w:cs="Tahoma"/>
          <w:b/>
          <w:sz w:val="23"/>
          <w:szCs w:val="23"/>
        </w:rPr>
      </w:pPr>
      <w:r w:rsidRPr="00A704A4">
        <w:rPr>
          <w:rFonts w:ascii="Tahoma" w:hAnsi="Tahoma" w:cs="Tahoma"/>
          <w:sz w:val="23"/>
          <w:szCs w:val="23"/>
        </w:rPr>
        <w:t>La Resolución Nº 1796-2010-TC-S1 de fecha 24 de setiembre del 2010, ha indicado que la Entidad ha cumplido con el procedimiento para la suscripción del contrato, al invocar como fundamento legal el artículo 203 del Reglamento de la Ley de Contrataciones y Adquisiciones del Estado, el cual establece que dentro de los cinco (05) días hábiles siguientes al consentimiento de la Buena Pro, la Entidad debería haber citado al postor ganador, otorgándole un plazo de diez (10) días hábiles para suscribir el contrato.</w:t>
      </w:r>
    </w:p>
    <w:p w:rsidR="00AD08AD" w:rsidRPr="00A704A4" w:rsidRDefault="00AD08AD" w:rsidP="00AD08AD">
      <w:pPr>
        <w:ind w:left="1287"/>
        <w:jc w:val="both"/>
        <w:rPr>
          <w:rFonts w:ascii="Tahoma" w:hAnsi="Tahoma" w:cs="Tahoma"/>
          <w:b/>
          <w:sz w:val="23"/>
          <w:szCs w:val="23"/>
        </w:rPr>
      </w:pPr>
    </w:p>
    <w:p w:rsidR="00AD08AD" w:rsidRPr="00A704A4" w:rsidRDefault="00AD08AD" w:rsidP="00AD08AD">
      <w:pPr>
        <w:numPr>
          <w:ilvl w:val="0"/>
          <w:numId w:val="9"/>
        </w:numPr>
        <w:ind w:hanging="720"/>
        <w:jc w:val="both"/>
        <w:rPr>
          <w:rFonts w:ascii="Tahoma" w:hAnsi="Tahoma" w:cs="Tahoma"/>
          <w:b/>
          <w:sz w:val="23"/>
          <w:szCs w:val="23"/>
        </w:rPr>
      </w:pPr>
      <w:r w:rsidRPr="00A704A4">
        <w:rPr>
          <w:rFonts w:ascii="Tahoma" w:hAnsi="Tahoma" w:cs="Tahoma"/>
          <w:sz w:val="23"/>
          <w:szCs w:val="23"/>
        </w:rPr>
        <w:t xml:space="preserve">No obstante ello, se debe precisar que mediante Decreto Supremo Nº 107-2007-PCM, publicado el 20 de julio del 2007, norma vigente a la </w:t>
      </w:r>
      <w:r w:rsidRPr="00A704A4">
        <w:rPr>
          <w:rFonts w:ascii="Tahoma" w:hAnsi="Tahoma" w:cs="Tahoma"/>
          <w:sz w:val="23"/>
          <w:szCs w:val="23"/>
        </w:rPr>
        <w:lastRenderedPageBreak/>
        <w:t>fecha del otorgamiento de la Buena Pro, dicho artículo fue modificado, por lo cual se estableció que únicamente a los dos (02) días hábiles siguientes al consentimiento de la Buena Pro, la Entidad tiene que citar al adjudicatario para la suscripción del contrato, por lo tanto, la norma invocada en la resolución cuestionada, no es la que estaba vigente en la fecha que se otorgó la Buena Pro, es decir el 10 de agosto del 2007, toda vez que debió invocarse el artículo 203, modificado por el Decreto Supremo Nº 107-2007-PCM del 20 de julio del 2007.</w:t>
      </w:r>
    </w:p>
    <w:p w:rsidR="00AD08AD" w:rsidRPr="00A704A4" w:rsidRDefault="00AD08AD" w:rsidP="00AD08AD">
      <w:pPr>
        <w:pStyle w:val="Prrafodelista"/>
        <w:rPr>
          <w:rFonts w:ascii="Tahoma" w:hAnsi="Tahoma" w:cs="Tahoma"/>
          <w:sz w:val="23"/>
          <w:szCs w:val="23"/>
        </w:rPr>
      </w:pPr>
    </w:p>
    <w:p w:rsidR="00AD08AD" w:rsidRPr="00A704A4" w:rsidRDefault="00AD08AD" w:rsidP="00AD08AD">
      <w:pPr>
        <w:numPr>
          <w:ilvl w:val="0"/>
          <w:numId w:val="9"/>
        </w:numPr>
        <w:ind w:hanging="720"/>
        <w:jc w:val="both"/>
        <w:rPr>
          <w:rFonts w:ascii="Tahoma" w:hAnsi="Tahoma" w:cs="Tahoma"/>
          <w:b/>
          <w:sz w:val="23"/>
          <w:szCs w:val="23"/>
        </w:rPr>
      </w:pPr>
      <w:r w:rsidRPr="00A704A4">
        <w:rPr>
          <w:rFonts w:ascii="Tahoma" w:hAnsi="Tahoma" w:cs="Tahoma"/>
          <w:sz w:val="23"/>
          <w:szCs w:val="23"/>
        </w:rPr>
        <w:t>En tal sentido, de la aplicación de la norma vigente, se puede advertir que los actos del proceso de selección por Adjudicación Directa Pública Nº 001-2007-MM, se debieron dar de la siguiente manera:</w:t>
      </w:r>
    </w:p>
    <w:p w:rsidR="00AD08AD" w:rsidRPr="00A704A4" w:rsidRDefault="00AD08AD" w:rsidP="00AD08AD">
      <w:pPr>
        <w:tabs>
          <w:tab w:val="num" w:pos="9720"/>
        </w:tabs>
        <w:jc w:val="both"/>
        <w:rPr>
          <w:rFonts w:ascii="Tahoma" w:hAnsi="Tahoma" w:cs="Tahoma"/>
          <w:sz w:val="23"/>
          <w:szCs w:val="23"/>
        </w:rPr>
      </w:pPr>
    </w:p>
    <w:p w:rsidR="00AD08AD" w:rsidRPr="00A704A4" w:rsidRDefault="00AD08AD" w:rsidP="00AD08AD">
      <w:pPr>
        <w:pStyle w:val="Prrafodelista"/>
        <w:numPr>
          <w:ilvl w:val="0"/>
          <w:numId w:val="10"/>
        </w:numPr>
        <w:ind w:left="1560" w:hanging="142"/>
        <w:jc w:val="both"/>
        <w:rPr>
          <w:rFonts w:ascii="Tahoma" w:hAnsi="Tahoma" w:cs="Tahoma"/>
          <w:sz w:val="23"/>
          <w:szCs w:val="23"/>
        </w:rPr>
      </w:pPr>
      <w:r w:rsidRPr="00A704A4">
        <w:rPr>
          <w:rFonts w:ascii="Tahoma" w:hAnsi="Tahoma" w:cs="Tahoma"/>
          <w:sz w:val="23"/>
          <w:szCs w:val="23"/>
        </w:rPr>
        <w:t>El acto público de la presentación de propuestas se llevó a cabo el 08 de agosto del 2007.</w:t>
      </w:r>
    </w:p>
    <w:p w:rsidR="00AD08AD" w:rsidRPr="00A704A4" w:rsidRDefault="00AD08AD" w:rsidP="00AD08AD">
      <w:pPr>
        <w:pStyle w:val="Prrafodelista"/>
        <w:ind w:left="1560"/>
        <w:jc w:val="both"/>
        <w:rPr>
          <w:rFonts w:ascii="Tahoma" w:hAnsi="Tahoma" w:cs="Tahoma"/>
          <w:sz w:val="23"/>
          <w:szCs w:val="23"/>
        </w:rPr>
      </w:pPr>
    </w:p>
    <w:p w:rsidR="00AD08AD" w:rsidRPr="00A704A4" w:rsidRDefault="00AD08AD" w:rsidP="00AD08AD">
      <w:pPr>
        <w:pStyle w:val="Prrafodelista"/>
        <w:numPr>
          <w:ilvl w:val="0"/>
          <w:numId w:val="10"/>
        </w:numPr>
        <w:ind w:left="1560" w:hanging="142"/>
        <w:jc w:val="both"/>
        <w:rPr>
          <w:rFonts w:ascii="Tahoma" w:hAnsi="Tahoma" w:cs="Tahoma"/>
          <w:sz w:val="23"/>
          <w:szCs w:val="23"/>
        </w:rPr>
      </w:pPr>
      <w:r w:rsidRPr="00A704A4">
        <w:rPr>
          <w:rFonts w:ascii="Tahoma" w:hAnsi="Tahoma" w:cs="Tahoma"/>
          <w:sz w:val="23"/>
          <w:szCs w:val="23"/>
        </w:rPr>
        <w:t>Luego, el 10 de agosto del 2007, se llevó a cabo el acto público de otorgamiento de la Buena Pro.</w:t>
      </w:r>
    </w:p>
    <w:p w:rsidR="00AD08AD" w:rsidRPr="00A704A4" w:rsidRDefault="00AD08AD" w:rsidP="00AD08AD">
      <w:pPr>
        <w:pStyle w:val="Prrafodelista"/>
        <w:rPr>
          <w:rFonts w:ascii="Tahoma" w:hAnsi="Tahoma" w:cs="Tahoma"/>
          <w:sz w:val="23"/>
          <w:szCs w:val="23"/>
        </w:rPr>
      </w:pPr>
    </w:p>
    <w:p w:rsidR="00AD08AD" w:rsidRPr="00A704A4" w:rsidRDefault="00AD08AD" w:rsidP="00AD08AD">
      <w:pPr>
        <w:pStyle w:val="Prrafodelista"/>
        <w:numPr>
          <w:ilvl w:val="0"/>
          <w:numId w:val="10"/>
        </w:numPr>
        <w:ind w:left="1560" w:hanging="142"/>
        <w:jc w:val="both"/>
        <w:rPr>
          <w:rFonts w:ascii="Tahoma" w:hAnsi="Tahoma" w:cs="Tahoma"/>
          <w:sz w:val="23"/>
          <w:szCs w:val="23"/>
        </w:rPr>
      </w:pPr>
      <w:r w:rsidRPr="00A704A4">
        <w:rPr>
          <w:rFonts w:ascii="Tahoma" w:hAnsi="Tahoma" w:cs="Tahoma"/>
          <w:sz w:val="23"/>
          <w:szCs w:val="23"/>
        </w:rPr>
        <w:t>Al haberse presentado dos o más propuestas en el ítem Nº 02, se consintió la Buena Pro del mismo a los ocho (08) días del acto público, es decir el 22 de agosto del 2007.</w:t>
      </w:r>
    </w:p>
    <w:p w:rsidR="00AD08AD" w:rsidRPr="00A704A4" w:rsidRDefault="00AD08AD" w:rsidP="00AD08AD">
      <w:pPr>
        <w:pStyle w:val="Prrafodelista"/>
        <w:rPr>
          <w:rFonts w:ascii="Tahoma" w:hAnsi="Tahoma" w:cs="Tahoma"/>
          <w:sz w:val="23"/>
          <w:szCs w:val="23"/>
        </w:rPr>
      </w:pPr>
    </w:p>
    <w:p w:rsidR="00AD08AD" w:rsidRPr="00A704A4" w:rsidRDefault="00AD08AD" w:rsidP="00AD08AD">
      <w:pPr>
        <w:pStyle w:val="Prrafodelista"/>
        <w:numPr>
          <w:ilvl w:val="0"/>
          <w:numId w:val="10"/>
        </w:numPr>
        <w:ind w:left="1560" w:hanging="142"/>
        <w:jc w:val="both"/>
        <w:rPr>
          <w:rFonts w:ascii="Tahoma" w:hAnsi="Tahoma" w:cs="Tahoma"/>
          <w:sz w:val="23"/>
          <w:szCs w:val="23"/>
        </w:rPr>
      </w:pPr>
      <w:r w:rsidRPr="00A704A4">
        <w:rPr>
          <w:rFonts w:ascii="Tahoma" w:hAnsi="Tahoma" w:cs="Tahoma"/>
          <w:sz w:val="23"/>
          <w:szCs w:val="23"/>
        </w:rPr>
        <w:t>En tal sentido, la Entidad debió notificarle para la suscripción del contrato el 23 y 24 de agosto del 2007, no obstante ello, la citación se realizó el 27 de agosto del 2007.</w:t>
      </w:r>
    </w:p>
    <w:p w:rsidR="00AD08AD" w:rsidRPr="00A704A4" w:rsidRDefault="00AD08AD" w:rsidP="00AD08AD">
      <w:pPr>
        <w:pStyle w:val="Prrafodelista"/>
        <w:rPr>
          <w:rFonts w:ascii="Tahoma" w:hAnsi="Tahoma" w:cs="Tahoma"/>
          <w:sz w:val="23"/>
          <w:szCs w:val="23"/>
        </w:rPr>
      </w:pPr>
    </w:p>
    <w:p w:rsidR="00AD08AD" w:rsidRPr="00A704A4" w:rsidRDefault="00AD08AD" w:rsidP="00AD08AD">
      <w:pPr>
        <w:pStyle w:val="Prrafodelista"/>
        <w:numPr>
          <w:ilvl w:val="0"/>
          <w:numId w:val="10"/>
        </w:numPr>
        <w:ind w:left="1560" w:hanging="142"/>
        <w:jc w:val="both"/>
        <w:rPr>
          <w:rFonts w:ascii="Tahoma" w:hAnsi="Tahoma" w:cs="Tahoma"/>
          <w:sz w:val="23"/>
          <w:szCs w:val="23"/>
        </w:rPr>
      </w:pPr>
      <w:r w:rsidRPr="00A704A4">
        <w:rPr>
          <w:rFonts w:ascii="Tahoma" w:hAnsi="Tahoma" w:cs="Tahoma"/>
          <w:sz w:val="23"/>
          <w:szCs w:val="23"/>
        </w:rPr>
        <w:t>Por lo tanto, la Entidad no ha respetado el procedimiento para la suscripción del contrato consignado en el artículo 203 del Reglamento, hecho por el cual no se debió haber procedido a imponer sanción administrativa, en aplicación del Acuerdo de Sala Plena Nº 007-2009 de fecha 25 de junio del 2009, por lo cual se debe declarar la nulidad de la Resolución Nº 1796-2010-TC-S1 de fecha 24 de setiembre del 2010 y se disponga el archivamiento definitivo del presente expediente.</w:t>
      </w:r>
    </w:p>
    <w:p w:rsidR="00AD08AD" w:rsidRPr="00A704A4" w:rsidRDefault="00AD08AD" w:rsidP="00AD08AD">
      <w:pPr>
        <w:tabs>
          <w:tab w:val="num" w:pos="9720"/>
        </w:tabs>
        <w:ind w:left="567"/>
        <w:jc w:val="both"/>
        <w:rPr>
          <w:rFonts w:ascii="Tahoma" w:hAnsi="Tahoma" w:cs="Tahoma"/>
          <w:b/>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A través del escrito presentado el 30 de mayo del 2011, el Postor señaló lo siguiente:</w:t>
      </w:r>
    </w:p>
    <w:p w:rsidR="00AD08AD" w:rsidRPr="00A704A4" w:rsidRDefault="00AD08AD" w:rsidP="00AD08AD">
      <w:pPr>
        <w:widowControl w:val="0"/>
        <w:suppressAutoHyphens/>
        <w:ind w:left="540"/>
        <w:jc w:val="both"/>
        <w:rPr>
          <w:rFonts w:ascii="Tahoma" w:hAnsi="Tahoma" w:cs="Tahoma"/>
          <w:sz w:val="23"/>
          <w:szCs w:val="23"/>
        </w:rPr>
      </w:pPr>
    </w:p>
    <w:p w:rsidR="00AD08AD" w:rsidRPr="00A704A4" w:rsidRDefault="00AD08AD" w:rsidP="00AD08AD">
      <w:pPr>
        <w:pStyle w:val="Prrafodelista"/>
        <w:numPr>
          <w:ilvl w:val="0"/>
          <w:numId w:val="11"/>
        </w:numPr>
        <w:ind w:left="1134" w:hanging="567"/>
        <w:jc w:val="both"/>
        <w:rPr>
          <w:rFonts w:ascii="Tahoma" w:hAnsi="Tahoma" w:cs="Tahoma"/>
          <w:sz w:val="23"/>
          <w:szCs w:val="23"/>
        </w:rPr>
      </w:pPr>
      <w:r w:rsidRPr="00A704A4">
        <w:rPr>
          <w:rFonts w:ascii="Tahoma" w:hAnsi="Tahoma" w:cs="Tahoma"/>
          <w:sz w:val="23"/>
          <w:szCs w:val="23"/>
        </w:rPr>
        <w:t xml:space="preserve">El artículo 27 de la Ley Nº 27444, Ley del Procedimiento Administrativo General, se refiere a las notificaciones defectuosas por omisión de alguno de los requisitos de contenido, los mismos que se detallan en el </w:t>
      </w:r>
      <w:r w:rsidRPr="00A704A4">
        <w:rPr>
          <w:rFonts w:ascii="Tahoma" w:hAnsi="Tahoma" w:cs="Tahoma"/>
          <w:sz w:val="23"/>
          <w:szCs w:val="23"/>
        </w:rPr>
        <w:lastRenderedPageBreak/>
        <w:t>artículo 24 de dicha Ley, que están referidos a la forma y no a las modalidades de notificación.</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11"/>
        </w:numPr>
        <w:ind w:left="1134" w:hanging="567"/>
        <w:jc w:val="both"/>
        <w:rPr>
          <w:rFonts w:ascii="Tahoma" w:hAnsi="Tahoma" w:cs="Tahoma"/>
          <w:sz w:val="23"/>
          <w:szCs w:val="23"/>
        </w:rPr>
      </w:pPr>
      <w:r w:rsidRPr="00A704A4">
        <w:rPr>
          <w:rFonts w:ascii="Tahoma" w:hAnsi="Tahoma" w:cs="Tahoma"/>
          <w:sz w:val="23"/>
          <w:szCs w:val="23"/>
        </w:rPr>
        <w:t>En tal sentido, teniendo en consideración que la notificación mediante la cual la Entidad lo citó para la suscripción del contrato, no adolece de alguno de sus requisitos, sino que se realizó a través de una modalidad (faximil) que no debió haber sido empleada, por lo cual no era de aplicación en el presente caso el artículo 27 de la Ley Nº 27444, encontrándonos ante una notificación viciada o nula, la misma que no puede ser subsanada bajo ningún motivo o circunstancia, según lo dispuesto en el artículo 20 de dicha Ley, al disponer que no se podrá suplir alguna modalidad de notificación con otra, bajo sanción de nulidad de dicha notificación.</w:t>
      </w:r>
    </w:p>
    <w:p w:rsidR="00AD08AD" w:rsidRPr="00A704A4" w:rsidRDefault="00AD08AD" w:rsidP="00AD08AD">
      <w:pPr>
        <w:ind w:left="1134" w:hanging="567"/>
        <w:jc w:val="both"/>
        <w:rPr>
          <w:rFonts w:ascii="Tahoma" w:hAnsi="Tahoma" w:cs="Tahoma"/>
          <w:sz w:val="23"/>
          <w:szCs w:val="23"/>
        </w:rPr>
      </w:pPr>
    </w:p>
    <w:p w:rsidR="00AD08AD" w:rsidRPr="00A704A4" w:rsidRDefault="00AD08AD" w:rsidP="00AD08AD">
      <w:pPr>
        <w:pStyle w:val="Prrafodelista"/>
        <w:numPr>
          <w:ilvl w:val="0"/>
          <w:numId w:val="11"/>
        </w:numPr>
        <w:ind w:left="1134" w:hanging="567"/>
        <w:jc w:val="both"/>
        <w:rPr>
          <w:rFonts w:ascii="Tahoma" w:hAnsi="Tahoma" w:cs="Tahoma"/>
          <w:sz w:val="23"/>
          <w:szCs w:val="23"/>
        </w:rPr>
      </w:pPr>
      <w:r w:rsidRPr="00A704A4">
        <w:rPr>
          <w:rFonts w:ascii="Tahoma" w:hAnsi="Tahoma" w:cs="Tahoma"/>
          <w:sz w:val="23"/>
          <w:szCs w:val="23"/>
        </w:rPr>
        <w:t>Finalmente, señaló que en el presente caso, erróneamente se ha invocado el artículo 27 de manera parcial, toda vez que consta de 2 incisos, el primero detalla de manera específica la circunstancias en que se puede sanear una notificación defectuosa por omisión de alguno de sus requisitos de contenido, mientras que el segundo, de manera complementaria, se refiere a otras modalidades por las que se puede tener por bien notificado al administrado pese a que exista una omisión de contenido, es decir, este último inciso se circunscribe únicamente a los previsto en el inciso primero y no para sanear o convalidar la modalidad de notificación, como ha ocurrido en el presente caso.</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escrito presentado el 06 de junio del 2011, el Postor solicitó se evalúe el estado de indefensión en la que se encontraba debido a que no fue notificado de la Resolución de Sanción Nº 1796-2010-TC-S1 del 24 de setiembre del 2010, lo que impidió que oportunamente interponga el Recurso de Reconsideración, toda vez que del cargo de la Cédula de Notificación Nº 24270/2010.TC que obra en el expediente, se advierte que ha sido recibido por una señora de nombre “Cristina Collantes”, persona que no conoce ni tiene vínculo con su representada, ni sus representantes, por lo que dicha notificación nunca fue recibida, prueba de ello es que el cargo de dicha cédula no aparece el sello de recibido de la empresa o su representante.</w:t>
      </w:r>
    </w:p>
    <w:p w:rsidR="00AD08AD" w:rsidRPr="00A704A4" w:rsidRDefault="00AD08AD" w:rsidP="00AD08AD">
      <w:pPr>
        <w:widowControl w:val="0"/>
        <w:suppressAutoHyphens/>
        <w:ind w:left="540"/>
        <w:jc w:val="both"/>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 xml:space="preserve">A través del escrito presentado el 16 de junio del 2011, el Postor adjuntó la Constancia expedida por su Contador, la señora María Teodolinda Castro Rodríguez, mediante la cual y, bajo declaración jurada, dejó constancia que la persona “Cristina Collantes” nunca ha laborado ni ha tenido vínculo laboral alguno con el Postor, por lo cual, adjuntaron la planilla de trabajadores correspondiente a los meses de Julio a Diciembre del 2010; acreditando con ello que no ha tomado conocimiento de la Resolución de Sanción, por lo cual </w:t>
      </w:r>
      <w:r w:rsidRPr="00A704A4">
        <w:rPr>
          <w:rFonts w:ascii="Tahoma" w:hAnsi="Tahoma" w:cs="Tahoma"/>
          <w:sz w:val="23"/>
          <w:szCs w:val="23"/>
        </w:rPr>
        <w:lastRenderedPageBreak/>
        <w:t>nunca tuvo posibilidad de interponer los mecanismos legales necesarios en resguardo a sus intereses.</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Resolución № 1097-2011-TC-S1 de fecha 23 de junio de 2011, el Tribunal declaro lo siguiente: “</w:t>
      </w:r>
      <w:r w:rsidRPr="00A704A4">
        <w:rPr>
          <w:rFonts w:ascii="Tahoma" w:hAnsi="Tahoma" w:cs="Tahoma"/>
          <w:b/>
          <w:i/>
          <w:sz w:val="23"/>
          <w:szCs w:val="23"/>
        </w:rPr>
        <w:t>(i)</w:t>
      </w:r>
      <w:r w:rsidRPr="00A704A4">
        <w:rPr>
          <w:rFonts w:ascii="Tahoma" w:hAnsi="Tahoma" w:cs="Tahoma"/>
          <w:i/>
          <w:sz w:val="23"/>
          <w:szCs w:val="23"/>
        </w:rPr>
        <w:t xml:space="preserve"> D</w:t>
      </w:r>
      <w:r w:rsidRPr="00A704A4">
        <w:rPr>
          <w:rFonts w:ascii="Tahoma" w:hAnsi="Tahoma" w:cs="Tahoma"/>
          <w:i/>
          <w:sz w:val="23"/>
          <w:szCs w:val="23"/>
          <w:lang w:val="es-PE"/>
        </w:rPr>
        <w:t xml:space="preserve">eclarar la nulidad de la notificación de la Resolución Nº 1796-2010-TC-S1, realizada a través de la Cédula de Notificación Nº 24270/2010.TC, debiéndose proceder a realizar una nueva notificación, en virtud a los fundamentos antes expuestos, y </w:t>
      </w:r>
      <w:r w:rsidRPr="00A704A4">
        <w:rPr>
          <w:rFonts w:ascii="Tahoma" w:hAnsi="Tahoma" w:cs="Tahoma"/>
          <w:b/>
          <w:i/>
          <w:sz w:val="23"/>
          <w:szCs w:val="23"/>
          <w:lang w:val="es-PE"/>
        </w:rPr>
        <w:t>(ii)</w:t>
      </w:r>
      <w:r w:rsidRPr="00A704A4">
        <w:rPr>
          <w:rFonts w:ascii="Tahoma" w:hAnsi="Tahoma" w:cs="Tahoma"/>
          <w:i/>
          <w:sz w:val="23"/>
          <w:szCs w:val="23"/>
          <w:lang w:val="es-PE"/>
        </w:rPr>
        <w:t xml:space="preserve"> </w:t>
      </w:r>
      <w:r w:rsidRPr="00A704A4">
        <w:rPr>
          <w:rFonts w:ascii="Tahoma" w:hAnsi="Tahoma" w:cs="Tahoma"/>
          <w:i/>
          <w:sz w:val="23"/>
          <w:szCs w:val="23"/>
        </w:rPr>
        <w:t>Declarar no ha lugar el pedido de nulidad de la Resolución Nº 1796-2010-TC-S1 de fecha 24 de setiembre del 2010, mediante la cual se dispuso imponer a la empresa DITRANSERVA S.A.C. la sanción administrativa de inhabilitación temporal por el periodo de quince (15) meses, en sus derechos de participar en procesos de selección y contratar con el Estado, por incurrir en la infracción tipificada en el numeral 1) del artículo 294 del Reglamento de la Ley de Contrataciones y Adquisiciones del Estado”.</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escrito presentado el 1 de julio de 2011, la empresa DITRANSERVA S.A.C. interpuso recurso de reconsideración contra la Resolución № 1796-2010-TC-S1, y solicitó al Tribunal que resolviera con arreglo a ley, por los siguientes argumentos:</w:t>
      </w:r>
    </w:p>
    <w:p w:rsidR="00AD08AD" w:rsidRPr="00A704A4" w:rsidRDefault="00AD08AD" w:rsidP="00AD08AD">
      <w:pPr>
        <w:pStyle w:val="Prrafodelista"/>
        <w:rPr>
          <w:rFonts w:ascii="Tahoma" w:hAnsi="Tahoma" w:cs="Tahoma"/>
          <w:sz w:val="23"/>
          <w:szCs w:val="23"/>
        </w:rPr>
      </w:pPr>
    </w:p>
    <w:p w:rsidR="00AD08AD" w:rsidRPr="00A704A4" w:rsidRDefault="00AD08AD" w:rsidP="00AD08AD">
      <w:pPr>
        <w:pStyle w:val="Prrafodelista"/>
        <w:numPr>
          <w:ilvl w:val="0"/>
          <w:numId w:val="13"/>
        </w:numPr>
        <w:ind w:left="1134" w:hanging="567"/>
        <w:jc w:val="both"/>
        <w:rPr>
          <w:rFonts w:ascii="Tahoma" w:hAnsi="Tahoma" w:cs="Tahoma"/>
          <w:sz w:val="23"/>
          <w:szCs w:val="23"/>
        </w:rPr>
      </w:pPr>
      <w:r w:rsidRPr="00A704A4">
        <w:rPr>
          <w:rFonts w:ascii="Tahoma" w:hAnsi="Tahoma" w:cs="Tahoma"/>
          <w:sz w:val="23"/>
          <w:szCs w:val="23"/>
        </w:rPr>
        <w:t>La citación para la suscripción del contrato se realizó a través de la Carta Nº 357-2007-GL/MN de fecha 24 de agosto del 2007, remitida vía fax, pretendiéndose justificar su notificación argumentándose que el postor tuvo conocimiento de la misma, por lo que dicha modalidad de notificación no afectaba su eficacia, invocando indebidamente para ello, lo establecido en el numeral 27.2 del artículo 27 de la Ley del Procedimiento Administrativo General, Ley Nº 27444.</w:t>
      </w:r>
    </w:p>
    <w:p w:rsidR="00AD08AD" w:rsidRPr="00A704A4" w:rsidRDefault="00AD08AD" w:rsidP="00AD08AD">
      <w:pPr>
        <w:pStyle w:val="Prrafodelista"/>
        <w:ind w:left="1134" w:hanging="567"/>
        <w:rPr>
          <w:rFonts w:ascii="Tahoma" w:hAnsi="Tahoma" w:cs="Tahoma"/>
          <w:sz w:val="23"/>
          <w:szCs w:val="23"/>
        </w:rPr>
      </w:pPr>
    </w:p>
    <w:p w:rsidR="00AD08AD" w:rsidRPr="00A704A4" w:rsidRDefault="00AD08AD" w:rsidP="00AD08AD">
      <w:pPr>
        <w:pStyle w:val="Prrafodelista"/>
        <w:widowControl/>
        <w:numPr>
          <w:ilvl w:val="0"/>
          <w:numId w:val="13"/>
        </w:numPr>
        <w:suppressAutoHyphens w:val="0"/>
        <w:ind w:left="1134" w:hanging="567"/>
        <w:jc w:val="both"/>
        <w:rPr>
          <w:rFonts w:ascii="Tahoma" w:hAnsi="Tahoma" w:cs="Tahoma"/>
          <w:sz w:val="23"/>
          <w:szCs w:val="23"/>
        </w:rPr>
      </w:pPr>
      <w:r w:rsidRPr="00A704A4">
        <w:rPr>
          <w:rFonts w:ascii="Tahoma" w:hAnsi="Tahoma" w:cs="Tahoma"/>
          <w:sz w:val="23"/>
          <w:szCs w:val="23"/>
        </w:rPr>
        <w:t>No obstante lo señalado anteriormente, cabe precisar que el artículo 20 de la Ley Nº 27444, ha establecido que la autoridad no podrá suplir la notificación personal por otra modalidad bajo sanción de nulidad de la notificación, salvo que exista autorización empresa; en tal sentido, de la verificación de las Bases Integradas del proceso del cual se derivaron los hechos cuestionados y en las propuestas presentadas, no existe declaración jurada alguna, mediante la cual se haya autorizado a la Entidad a notificar los actos del proceso de selección a través de una modalidad distinta que no sea la notificación personal, por lo cual, la notificación realizada vía fax debió haber sido declarada nula.</w:t>
      </w:r>
    </w:p>
    <w:p w:rsidR="00AD08AD" w:rsidRPr="00A704A4" w:rsidRDefault="00AD08AD" w:rsidP="00AD08AD">
      <w:pPr>
        <w:pStyle w:val="Prrafodelista"/>
        <w:ind w:left="1134" w:hanging="567"/>
        <w:jc w:val="both"/>
        <w:rPr>
          <w:rFonts w:ascii="Tahoma" w:hAnsi="Tahoma" w:cs="Tahoma"/>
          <w:sz w:val="23"/>
          <w:szCs w:val="23"/>
        </w:rPr>
      </w:pPr>
    </w:p>
    <w:p w:rsidR="00AD08AD" w:rsidRPr="00A704A4" w:rsidRDefault="00AD08AD" w:rsidP="00AD08AD">
      <w:pPr>
        <w:pStyle w:val="Prrafodelista"/>
        <w:widowControl/>
        <w:numPr>
          <w:ilvl w:val="0"/>
          <w:numId w:val="13"/>
        </w:numPr>
        <w:suppressAutoHyphens w:val="0"/>
        <w:ind w:left="1134" w:hanging="567"/>
        <w:jc w:val="both"/>
        <w:rPr>
          <w:rFonts w:ascii="Tahoma" w:hAnsi="Tahoma" w:cs="Tahoma"/>
          <w:sz w:val="23"/>
          <w:szCs w:val="23"/>
        </w:rPr>
      </w:pPr>
      <w:r w:rsidRPr="00A704A4">
        <w:rPr>
          <w:rFonts w:ascii="Tahoma" w:hAnsi="Tahoma" w:cs="Tahoma"/>
          <w:sz w:val="23"/>
          <w:szCs w:val="23"/>
        </w:rPr>
        <w:t xml:space="preserve">En efecto, la Carta Nº 357-2007-GL/MN de fecha 24 de agosto del 2007, remitida vía fax, no puede ser subsanada en virtud a lo establecido en el artículo 27 de la Ley Nº 27444, el cual se refiere a las </w:t>
      </w:r>
      <w:r w:rsidRPr="00A704A4">
        <w:rPr>
          <w:rFonts w:ascii="Tahoma" w:hAnsi="Tahoma" w:cs="Tahoma"/>
          <w:sz w:val="23"/>
          <w:szCs w:val="23"/>
        </w:rPr>
        <w:lastRenderedPageBreak/>
        <w:t>notificaciones defectuosas por omisión de alguno de sus requisitos de contenido según lo señalado en el artículo 24 de dicha Ley, toda vez que en el presente caso la notificación no adolece de dichos requisitos, sino que la modalidad empleada no debió ser utilizada, por lo cual se vició hasta su nulidad, tal como lo establece el artículo 20 antes señalado, la misma que no puede ser subsanada bajo ningún motivo o circunstancia.</w:t>
      </w:r>
    </w:p>
    <w:p w:rsidR="00AD08AD" w:rsidRPr="00A704A4" w:rsidRDefault="00AD08AD" w:rsidP="00AD08AD">
      <w:pPr>
        <w:pStyle w:val="Prrafodelista"/>
        <w:ind w:left="1134" w:hanging="567"/>
        <w:jc w:val="both"/>
        <w:rPr>
          <w:rFonts w:ascii="Tahoma" w:hAnsi="Tahoma" w:cs="Tahoma"/>
          <w:sz w:val="23"/>
          <w:szCs w:val="23"/>
        </w:rPr>
      </w:pPr>
    </w:p>
    <w:p w:rsidR="00AD08AD" w:rsidRPr="00A704A4" w:rsidRDefault="00AD08AD" w:rsidP="00AD08AD">
      <w:pPr>
        <w:pStyle w:val="Prrafodelista"/>
        <w:widowControl/>
        <w:numPr>
          <w:ilvl w:val="0"/>
          <w:numId w:val="13"/>
        </w:numPr>
        <w:suppressAutoHyphens w:val="0"/>
        <w:ind w:left="1134" w:hanging="567"/>
        <w:jc w:val="both"/>
        <w:rPr>
          <w:rFonts w:ascii="Tahoma" w:hAnsi="Tahoma" w:cs="Tahoma"/>
          <w:sz w:val="23"/>
          <w:szCs w:val="23"/>
        </w:rPr>
      </w:pPr>
      <w:r w:rsidRPr="00A704A4">
        <w:rPr>
          <w:rFonts w:ascii="Tahoma" w:hAnsi="Tahoma" w:cs="Tahoma"/>
          <w:sz w:val="23"/>
          <w:szCs w:val="23"/>
        </w:rPr>
        <w:t>Asimismo, señaló que no se ha tomado en cuenta el Acuerdo de Sala Plena Nº 007-2009 publicado el 28 de agosto del 2009, el cual establece que las Entidades están obligadas a cumplir y observar estrictamente los plazos y el procedimiento establecido en la normativa para llevar a cabo la suscripción del contrato, procedimiento cuya inobservancia acarrea la exención de responsabilidad del postor, debiendo declararse no ha lugar el inicio de procedimiento administrativo sancionador y, además, el precedente administrativo emitido mediante la Resolución Nº 2099-2010-TC-S4 de fecha 08 de noviembre del 2010, en el cual se declaró no ha lugar la imposición de sanción a la empresa denunciada, en razón a que la Entidad no había cumplido con el procedimiento para la suscripción del contrato, toda vez que a pesar que el administrado no había solicitado ser notificado vía fax, la Entidad le citó para la suscripción del contrato bajo dicha modalidad.</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Mediante decreto de fecha 1 de julio de 2011, se remitió el presente expediente a la Primera Sala del Tribunal para que resolviera el recurso de reconsideración interpuesto por la empresa DITRANSERVA S.A.C.</w:t>
      </w:r>
    </w:p>
    <w:p w:rsidR="00AD08AD" w:rsidRPr="00A704A4" w:rsidRDefault="00AD08AD" w:rsidP="00AD08AD">
      <w:pPr>
        <w:pStyle w:val="Prrafodelista"/>
        <w:rPr>
          <w:rFonts w:ascii="Tahoma" w:hAnsi="Tahoma" w:cs="Tahoma"/>
          <w:sz w:val="23"/>
          <w:szCs w:val="23"/>
        </w:rPr>
      </w:pPr>
    </w:p>
    <w:p w:rsidR="00AD08AD" w:rsidRPr="00A704A4" w:rsidRDefault="00AD08AD" w:rsidP="00AD08AD">
      <w:pPr>
        <w:widowControl w:val="0"/>
        <w:numPr>
          <w:ilvl w:val="0"/>
          <w:numId w:val="6"/>
        </w:numPr>
        <w:tabs>
          <w:tab w:val="clear" w:pos="1065"/>
        </w:tabs>
        <w:suppressAutoHyphens/>
        <w:ind w:left="540" w:hanging="540"/>
        <w:jc w:val="both"/>
        <w:rPr>
          <w:rFonts w:ascii="Tahoma" w:hAnsi="Tahoma" w:cs="Tahoma"/>
          <w:sz w:val="23"/>
          <w:szCs w:val="23"/>
        </w:rPr>
      </w:pPr>
      <w:r w:rsidRPr="00A704A4">
        <w:rPr>
          <w:rFonts w:ascii="Tahoma" w:hAnsi="Tahoma" w:cs="Tahoma"/>
          <w:sz w:val="23"/>
          <w:szCs w:val="23"/>
        </w:rPr>
        <w:t>Con escrito presentado el 6 de julio de 2011, la empresa DITRANSERVA S.A.C. amplió sus argumentos de defensa, manifestando lo siguiente:</w:t>
      </w:r>
    </w:p>
    <w:p w:rsidR="00AD08AD" w:rsidRPr="00A704A4" w:rsidRDefault="00AD08AD" w:rsidP="00AD08AD">
      <w:pPr>
        <w:pStyle w:val="Prrafodelista"/>
        <w:rPr>
          <w:rFonts w:ascii="Tahoma" w:hAnsi="Tahoma" w:cs="Tahoma"/>
          <w:i/>
          <w:sz w:val="23"/>
          <w:szCs w:val="23"/>
        </w:rPr>
      </w:pPr>
    </w:p>
    <w:p w:rsidR="00AD08AD" w:rsidRPr="00A704A4" w:rsidRDefault="00AD08AD" w:rsidP="00AD08AD">
      <w:pPr>
        <w:widowControl w:val="0"/>
        <w:numPr>
          <w:ilvl w:val="0"/>
          <w:numId w:val="12"/>
        </w:numPr>
        <w:suppressAutoHyphens/>
        <w:jc w:val="both"/>
        <w:rPr>
          <w:rFonts w:ascii="Tahoma" w:hAnsi="Tahoma" w:cs="Tahoma"/>
          <w:sz w:val="18"/>
          <w:szCs w:val="18"/>
        </w:rPr>
      </w:pPr>
      <w:r w:rsidRPr="00A704A4">
        <w:rPr>
          <w:rFonts w:ascii="Tahoma" w:hAnsi="Tahoma" w:cs="Tahoma"/>
          <w:i/>
          <w:sz w:val="18"/>
          <w:szCs w:val="18"/>
        </w:rPr>
        <w:t>“Mediante la Resolución № 437-2010-TC-S1 de fecha 25 de febrero de 2010, emitida por la primera sala del Tribunal de Contrataciones del Estado, bajo la ponencia de la Dra. Janette Elke Ramírez Maynetto e integrada por los Vocales Drs. Wina Grely Isasi Berrospi y Juan Carlos Mejía Cornejo; en sus fundamentos 12 y 13 de dicha Resolución textualmente señala lo siguiente:</w:t>
      </w:r>
      <w:r w:rsidRPr="00A704A4">
        <w:rPr>
          <w:rFonts w:ascii="Tahoma" w:hAnsi="Tahoma" w:cs="Tahoma"/>
          <w:sz w:val="18"/>
          <w:szCs w:val="18"/>
        </w:rPr>
        <w:t xml:space="preserve"> </w:t>
      </w:r>
      <w:r w:rsidRPr="00A704A4">
        <w:rPr>
          <w:rFonts w:ascii="Tahoma" w:hAnsi="Tahoma" w:cs="Tahoma"/>
          <w:i/>
          <w:sz w:val="18"/>
          <w:szCs w:val="18"/>
        </w:rPr>
        <w:t>“Fundamento 12: En virtud a ello, es pertinente indicar que como lo señala el postor, las notificaciones deben efectuarse en virtud a un orden de prelación, a efectos de salvaguardar el debido conocimiento de los actos que la administración realice, por tal motivo, de conformidad al artículo 20 de la Ley de Procedimiento Administrativo General, la primera diligencia debe realizarse en el domicilio del administrado, agotado este medio, vía telegrama, correo certificado, telefax, correo electrónico, o cualquier otro medio que permita comprobar fehacientemente su acuse de recibo, siempre que haya sido autorizado por el administrado.</w:t>
      </w:r>
      <w:r w:rsidRPr="00A704A4">
        <w:rPr>
          <w:rFonts w:ascii="Tahoma" w:hAnsi="Tahoma" w:cs="Tahoma"/>
          <w:sz w:val="18"/>
          <w:szCs w:val="18"/>
        </w:rPr>
        <w:t xml:space="preserve"> </w:t>
      </w:r>
      <w:r w:rsidRPr="00A704A4">
        <w:rPr>
          <w:rFonts w:ascii="Tahoma" w:hAnsi="Tahoma" w:cs="Tahoma"/>
          <w:i/>
          <w:sz w:val="18"/>
          <w:szCs w:val="18"/>
        </w:rPr>
        <w:t xml:space="preserve">Fundamento 13: En el presente caso, el postor no autorizó  a ser notificado por dicho medio, por tal motivo, no puede entenderse como válida la comunicación  realizada vía fax el 14 de agosto de 2008. Sin embargo, el mismo Oficio Nº 158-2008/GRP-440300, mediante el cual se citó al Postor para la firma del contrato, se le notificó presencialmente el 15 del mismo mes y año, respetándose mediante este acto las  modalidades de notificación descritas en la Ley Nº </w:t>
      </w:r>
      <w:r w:rsidRPr="00A704A4">
        <w:rPr>
          <w:rFonts w:ascii="Tahoma" w:hAnsi="Tahoma" w:cs="Tahoma"/>
          <w:i/>
          <w:sz w:val="18"/>
          <w:szCs w:val="18"/>
        </w:rPr>
        <w:lastRenderedPageBreak/>
        <w:t>27444, no afectándose de esta forma algún derecho inherente al Postor. Es a partir de dicha comunicación que debe evaluarse el plazo otorgado para la suscripción contractual, el cual venció el día 28 de agosto de 2008.Como puede evidenciarse, se otorgó al postor 09 días para la suscripción del contrato, plazo que se encuentra acorde con lo señalado en el artículo 203 de la normativa de contrataciones vigente, no existiendo respecto a este plazo irregularidad alguna que haya perjudicado de alguna forma al Postor (sic)”.</w:t>
      </w:r>
    </w:p>
    <w:p w:rsidR="00AD08AD" w:rsidRPr="00A704A4" w:rsidRDefault="00AD08AD" w:rsidP="00AD08AD">
      <w:pPr>
        <w:widowControl w:val="0"/>
        <w:suppressAutoHyphens/>
        <w:ind w:left="900"/>
        <w:jc w:val="both"/>
        <w:rPr>
          <w:rFonts w:ascii="Tahoma" w:hAnsi="Tahoma" w:cs="Tahoma"/>
          <w:sz w:val="18"/>
          <w:szCs w:val="18"/>
        </w:rPr>
      </w:pPr>
    </w:p>
    <w:p w:rsidR="00AD08AD" w:rsidRPr="00A704A4" w:rsidRDefault="00AD08AD" w:rsidP="00AD08AD">
      <w:pPr>
        <w:widowControl w:val="0"/>
        <w:numPr>
          <w:ilvl w:val="0"/>
          <w:numId w:val="12"/>
        </w:numPr>
        <w:suppressAutoHyphens/>
        <w:jc w:val="both"/>
        <w:rPr>
          <w:rFonts w:ascii="Tahoma" w:hAnsi="Tahoma" w:cs="Tahoma"/>
          <w:i/>
          <w:sz w:val="23"/>
          <w:szCs w:val="23"/>
        </w:rPr>
      </w:pPr>
      <w:r w:rsidRPr="00A704A4">
        <w:rPr>
          <w:rFonts w:ascii="Tahoma" w:hAnsi="Tahoma" w:cs="Tahoma"/>
          <w:sz w:val="18"/>
          <w:szCs w:val="18"/>
        </w:rPr>
        <w:t xml:space="preserve">Asimismo, la empresa DITRANSERVA S.A.C. señaló lo siguiente: </w:t>
      </w:r>
      <w:r w:rsidRPr="00A704A4">
        <w:rPr>
          <w:rFonts w:ascii="Tahoma" w:hAnsi="Tahoma" w:cs="Tahoma"/>
          <w:i/>
          <w:sz w:val="18"/>
          <w:szCs w:val="18"/>
        </w:rPr>
        <w:t xml:space="preserve">“Copia de la Resolución № 640-2010-TC-S1 del 165 de marzo del 2010, emitida por la Primera Sala del Tribunal de Contrataciones del Estado bajo la ponencia de la Dra. Janette Elke Ramírez Maynetto e integrada por los Vocales Drs. Wina Grely Isasi Berrospi y Víctor Rodríguez Buitrón, en merito al recurso de reconsideración de la Resolución № 437-2010-TC-S1; en cuyos fundamentos 10 y 11, ratifica lo señalado en la resolución impugnada, señalando textualmente lo siguiente:  “De la revisión de los antecedentes administrativos, se aprecia que mediante Oficio Nº 158-2008/GRP-440300, remitido vía fax el 14 de agosto de 2008 y notificado personalmente el 15 del mismo mes y año, la Entidad citó al Postor, indicándole que </w:t>
      </w:r>
      <w:r w:rsidRPr="00A704A4">
        <w:rPr>
          <w:rFonts w:ascii="Tahoma" w:hAnsi="Tahoma" w:cs="Tahoma"/>
          <w:b/>
          <w:i/>
          <w:sz w:val="18"/>
          <w:szCs w:val="18"/>
        </w:rPr>
        <w:t xml:space="preserve">“El plazo máximo para la firma del contrato vence el 28 de agosto del </w:t>
      </w:r>
      <w:smartTag w:uri="urn:schemas-microsoft-com:office:smarttags" w:element="metricconverter">
        <w:smartTagPr>
          <w:attr w:name="ProductID" w:val="2008 a"/>
        </w:smartTagPr>
        <w:r w:rsidRPr="00A704A4">
          <w:rPr>
            <w:rFonts w:ascii="Tahoma" w:hAnsi="Tahoma" w:cs="Tahoma"/>
            <w:b/>
            <w:i/>
            <w:sz w:val="18"/>
            <w:szCs w:val="18"/>
          </w:rPr>
          <w:t>2008 a</w:t>
        </w:r>
      </w:smartTag>
      <w:r w:rsidRPr="00A704A4">
        <w:rPr>
          <w:rFonts w:ascii="Tahoma" w:hAnsi="Tahoma" w:cs="Tahoma"/>
          <w:b/>
          <w:i/>
          <w:sz w:val="18"/>
          <w:szCs w:val="18"/>
        </w:rPr>
        <w:t xml:space="preserve"> horas 11:00 (hora exacta)”.</w:t>
      </w:r>
      <w:r w:rsidRPr="00A704A4">
        <w:rPr>
          <w:rFonts w:ascii="Tahoma" w:hAnsi="Tahoma" w:cs="Tahoma"/>
          <w:i/>
          <w:sz w:val="18"/>
          <w:szCs w:val="18"/>
        </w:rPr>
        <w:t xml:space="preserve"> Adviértase, en este punto que la notificación por fax resultó inválida tal como se expuso en la recurrida, debido a que no fue debidamente autorizada por el Postor, este Colegiado ha considerado que el referido oficio fue diligenciado el 15 de agosto de 2008.  Así mismo, debe tenerse en cuenta que, habiendo la Entidad fijado discrecionalmente que el contrato se firme a más tardar el 28 de agosto de 2008, se desprende que la Entidad le concedió nueve (9) días para recabar y presentar la documentación solicitada” </w:t>
      </w:r>
      <w:r w:rsidRPr="00A704A4">
        <w:rPr>
          <w:rFonts w:ascii="Tahoma" w:hAnsi="Tahoma" w:cs="Tahoma"/>
          <w:i/>
          <w:sz w:val="23"/>
          <w:szCs w:val="23"/>
        </w:rPr>
        <w:t>(sic).</w:t>
      </w:r>
    </w:p>
    <w:p w:rsidR="00AD08AD" w:rsidRPr="00A704A4" w:rsidRDefault="00AD08AD" w:rsidP="00AD08AD">
      <w:pPr>
        <w:widowControl w:val="0"/>
        <w:suppressAutoHyphens/>
        <w:ind w:left="900"/>
        <w:jc w:val="both"/>
        <w:rPr>
          <w:rFonts w:ascii="Tahoma" w:hAnsi="Tahoma" w:cs="Tahoma"/>
          <w:i/>
          <w:sz w:val="23"/>
          <w:szCs w:val="23"/>
        </w:rPr>
      </w:pPr>
    </w:p>
    <w:p w:rsidR="00AD08AD" w:rsidRPr="00A704A4" w:rsidRDefault="00AD08AD" w:rsidP="00AD08AD">
      <w:pPr>
        <w:widowControl w:val="0"/>
        <w:numPr>
          <w:ilvl w:val="0"/>
          <w:numId w:val="12"/>
        </w:numPr>
        <w:suppressAutoHyphens/>
        <w:jc w:val="both"/>
        <w:rPr>
          <w:rFonts w:ascii="Tahoma" w:hAnsi="Tahoma" w:cs="Tahoma"/>
          <w:sz w:val="23"/>
          <w:szCs w:val="23"/>
        </w:rPr>
      </w:pPr>
      <w:r w:rsidRPr="00A704A4">
        <w:rPr>
          <w:rFonts w:ascii="Tahoma" w:hAnsi="Tahoma" w:cs="Tahoma"/>
          <w:sz w:val="23"/>
          <w:szCs w:val="23"/>
        </w:rPr>
        <w:t>Por último, la empresa DITRANSERVA S.A.C. señaló que existía sendas resoluciones (que adjuntó a su escrito) que indicaban que la notificación vía fax era invalida.</w:t>
      </w:r>
    </w:p>
    <w:p w:rsidR="00AD08AD" w:rsidRPr="00A704A4" w:rsidRDefault="00AD08AD" w:rsidP="00AD08AD">
      <w:pPr>
        <w:contextualSpacing/>
        <w:jc w:val="both"/>
        <w:rPr>
          <w:rFonts w:ascii="Tahoma" w:hAnsi="Tahoma" w:cs="Tahoma"/>
          <w:sz w:val="23"/>
          <w:szCs w:val="23"/>
        </w:rPr>
      </w:pPr>
    </w:p>
    <w:p w:rsidR="00AD08AD" w:rsidRPr="00A704A4" w:rsidRDefault="00AD08AD" w:rsidP="00AD08AD">
      <w:pPr>
        <w:pStyle w:val="Prrafodelista"/>
        <w:ind w:left="567"/>
        <w:rPr>
          <w:rFonts w:ascii="Tahoma" w:hAnsi="Tahoma" w:cs="Tahoma"/>
          <w:b/>
          <w:sz w:val="23"/>
          <w:szCs w:val="23"/>
        </w:rPr>
      </w:pPr>
      <w:r w:rsidRPr="00A704A4">
        <w:rPr>
          <w:rFonts w:ascii="Tahoma" w:hAnsi="Tahoma" w:cs="Tahoma"/>
          <w:b/>
          <w:sz w:val="23"/>
          <w:szCs w:val="23"/>
        </w:rPr>
        <w:t>FUNDAMENTACIÓN</w:t>
      </w:r>
    </w:p>
    <w:p w:rsidR="00AD08AD" w:rsidRPr="00A704A4" w:rsidRDefault="00AD08AD" w:rsidP="00AD08AD">
      <w:pPr>
        <w:ind w:left="426"/>
        <w:jc w:val="both"/>
        <w:rPr>
          <w:rFonts w:ascii="Tahoma" w:hAnsi="Tahoma" w:cs="Tahoma"/>
          <w:sz w:val="23"/>
          <w:szCs w:val="23"/>
          <w:lang w:eastAsia="es-PE"/>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lang w:val="es-PE"/>
        </w:rPr>
        <w:t xml:space="preserve">El recurso de reconsideración en los procedimientos administrativos sancionadores a cargo del Tribunal ha sido regulado en el artículo 249 del Reglamento de la Ley de Contrataciones del Estado aprobado mediante Decreto Supremo </w:t>
      </w:r>
      <w:r w:rsidRPr="00A704A4">
        <w:rPr>
          <w:rFonts w:ascii="Tahoma" w:hAnsi="Tahoma" w:cs="Tahoma"/>
          <w:sz w:val="23"/>
          <w:szCs w:val="23"/>
          <w:lang w:val="es-ES_tradnl"/>
        </w:rPr>
        <w:t>№ 184-2008-EF</w:t>
      </w:r>
      <w:r w:rsidRPr="00A704A4">
        <w:rPr>
          <w:rFonts w:ascii="Tahoma" w:hAnsi="Tahoma" w:cs="Tahoma"/>
          <w:sz w:val="23"/>
          <w:szCs w:val="23"/>
          <w:lang w:val="es-PE"/>
        </w:rPr>
        <w:t>, a cuyo tenor aquél debe ser interpuesto dentro de los cinco (5) días hábiles siguientes de la notificación de la resolución que impone la sanción y resuelto en el término de quince (15) días hábiles desde su presentación.</w:t>
      </w:r>
    </w:p>
    <w:p w:rsidR="00AD08AD" w:rsidRPr="00A704A4" w:rsidRDefault="00AD08AD" w:rsidP="00AD08AD">
      <w:pPr>
        <w:ind w:left="567"/>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 xml:space="preserve">En el caso de autos, el Postor ha interpuesto recurso de reconsideración contra la Resolución № 1796-2010-TC-S1, mediante la cual el Tribunal le impuso sanción administrativa de inhabilitación temporal en sus derechos para participar en procesos de selección y contratar con el Estado, por el periodo de quince (15) meses, al haberse determinado su responsabilidad en la comisión de la infracción tipificada en el  </w:t>
      </w:r>
      <w:r w:rsidRPr="00A704A4">
        <w:rPr>
          <w:rFonts w:ascii="Tahoma" w:hAnsi="Tahoma" w:cs="Tahoma"/>
          <w:sz w:val="23"/>
          <w:szCs w:val="23"/>
          <w:lang w:val="es-PE"/>
        </w:rPr>
        <w:t xml:space="preserve">literal i) </w:t>
      </w:r>
      <w:r w:rsidRPr="00A704A4">
        <w:rPr>
          <w:rFonts w:ascii="Tahoma" w:hAnsi="Tahoma" w:cs="Tahoma"/>
          <w:sz w:val="23"/>
          <w:szCs w:val="23"/>
        </w:rPr>
        <w:t xml:space="preserve">del numeral 51.1 del artículo 51 de la Ley de Contrataciones del Estado, aprobada mediante Decreto Legislativo Nº 1017, en concordancia con el literal i) del numeral 1 </w:t>
      </w:r>
      <w:r w:rsidRPr="00A704A4">
        <w:rPr>
          <w:rFonts w:ascii="Tahoma" w:hAnsi="Tahoma" w:cs="Tahoma"/>
          <w:sz w:val="23"/>
          <w:szCs w:val="23"/>
        </w:rPr>
        <w:lastRenderedPageBreak/>
        <w:t>del artículo 237 de su Reglamento, aprobado por Decreto Supremo № 184-2008-EF, en adelante la Ley y el Reglamento</w:t>
      </w:r>
      <w:r w:rsidRPr="00A704A4">
        <w:rPr>
          <w:rStyle w:val="Refdenotaalpie"/>
          <w:rFonts w:ascii="Tahoma" w:hAnsi="Tahoma" w:cs="Tahoma"/>
          <w:sz w:val="23"/>
          <w:szCs w:val="23"/>
        </w:rPr>
        <w:footnoteReference w:id="2"/>
      </w:r>
      <w:r w:rsidRPr="00A704A4">
        <w:rPr>
          <w:rFonts w:ascii="Tahoma" w:hAnsi="Tahoma" w:cs="Tahoma"/>
          <w:sz w:val="23"/>
          <w:szCs w:val="23"/>
        </w:rPr>
        <w:t>.</w:t>
      </w:r>
    </w:p>
    <w:p w:rsidR="00AD08AD" w:rsidRPr="00A704A4" w:rsidRDefault="00AD08AD" w:rsidP="00AD08AD">
      <w:pPr>
        <w:pStyle w:val="Prrafodelista"/>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Previamente este Colegiado debe analizar si el recurso materia de análisis ha sido interpuesto oportunamente, es decir dentro del plazo señalado expresamente en la normativa precitada.</w:t>
      </w:r>
    </w:p>
    <w:p w:rsidR="00AD08AD" w:rsidRPr="00A704A4" w:rsidRDefault="00AD08AD" w:rsidP="00AD08AD">
      <w:pPr>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En el presente caso, se ha verificado que la Resolución № 1796-2010-TC-S1 fue notificada a la empresa DITRANSERVA S.A.C. el 27 de junio de 2011 y el recurso de reconsideración fue ingresado a Mesa de Partes del Tribunal el 1 de julio de 2011, por lo que dicho recurso interpuesto por el impugnante se realizó dentro del plazo previsto en el artículo 249 del Reglamento</w:t>
      </w:r>
      <w:r w:rsidRPr="00A704A4">
        <w:rPr>
          <w:rFonts w:ascii="Tahoma" w:hAnsi="Tahoma" w:cs="Tahoma"/>
          <w:sz w:val="23"/>
          <w:szCs w:val="23"/>
          <w:lang w:val="es-PE"/>
        </w:rPr>
        <w:t>.</w:t>
      </w:r>
    </w:p>
    <w:p w:rsidR="00AD08AD" w:rsidRPr="00A704A4" w:rsidRDefault="00AD08AD" w:rsidP="00AD08AD">
      <w:pPr>
        <w:pStyle w:val="Prrafodelista"/>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En el presente recurso de reconsideración, la empresa DITRANSERVA S.A.C. ha reiterado algunos argumentos vertidos en su inicial escrito de descargos y, a su vez, ha señalado otros. En tal medida, resulta conveniente emitir pronunciamiento respecto de cada uno de los cuestionamientos planteados en el recurso que nos ocupa y verificar si se han aportado nuevos elementos de juicio que permitan al Tribunal modificar la decisión que adoptó en la resolución recurrida.</w:t>
      </w:r>
    </w:p>
    <w:p w:rsidR="00AD08AD" w:rsidRPr="00A704A4" w:rsidRDefault="00AD08AD" w:rsidP="00AD08AD">
      <w:pPr>
        <w:pStyle w:val="Prrafodelista"/>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La empresa DITRANSERVA S.A.C. ha fundamentado su recurso de reconsideración en los siguientes argumentos:</w:t>
      </w:r>
    </w:p>
    <w:p w:rsidR="00AD08AD" w:rsidRPr="00A704A4" w:rsidRDefault="00AD08AD" w:rsidP="00AD08AD">
      <w:pPr>
        <w:widowControl w:val="0"/>
        <w:suppressAutoHyphens/>
        <w:jc w:val="both"/>
        <w:rPr>
          <w:rFonts w:ascii="Tahoma" w:hAnsi="Tahoma" w:cs="Tahoma"/>
          <w:sz w:val="23"/>
          <w:szCs w:val="23"/>
        </w:rPr>
      </w:pPr>
    </w:p>
    <w:p w:rsidR="00AD08AD" w:rsidRPr="00A704A4" w:rsidRDefault="00AD08AD" w:rsidP="00AD08AD">
      <w:pPr>
        <w:pStyle w:val="Prrafodelista"/>
        <w:numPr>
          <w:ilvl w:val="0"/>
          <w:numId w:val="15"/>
        </w:numPr>
        <w:ind w:left="1134" w:hanging="567"/>
        <w:jc w:val="both"/>
        <w:rPr>
          <w:rFonts w:ascii="Tahoma" w:hAnsi="Tahoma" w:cs="Tahoma"/>
          <w:sz w:val="23"/>
          <w:szCs w:val="23"/>
        </w:rPr>
      </w:pPr>
      <w:r w:rsidRPr="00A704A4">
        <w:rPr>
          <w:rFonts w:ascii="Tahoma" w:hAnsi="Tahoma" w:cs="Tahoma"/>
          <w:sz w:val="23"/>
          <w:szCs w:val="23"/>
        </w:rPr>
        <w:t>La citación para la suscripción del contrato, realizada a través de la Carta Nº 357-2007-GL/MN de fecha 24 de agosto del 2007, remitida vía fax, no debió haberse considerado válida, toda vez que en virtud del artículo 20 de la Ley Nº 27444, la autoridad no podrá suplir la notificación personal por otra modalidad bajo sanción de nulidad de la notificación, salvo que exista autorización expresa, por lo cual, en el presente caso, al no existir autorización alguna para que se realice la notificación vía fax, tal como se puede verificar de las Bases Integradas del proceso del cual se derivaron los hechos cuestionados y en las propuestas presentadas, dicha notificación debe ser declarada nula.</w:t>
      </w:r>
    </w:p>
    <w:p w:rsidR="00AD08AD" w:rsidRPr="00A704A4" w:rsidRDefault="00AD08AD" w:rsidP="00AD08AD">
      <w:pPr>
        <w:widowControl w:val="0"/>
        <w:suppressAutoHyphens/>
        <w:ind w:left="1134" w:hanging="567"/>
        <w:jc w:val="both"/>
        <w:rPr>
          <w:rFonts w:ascii="Tahoma" w:hAnsi="Tahoma" w:cs="Tahoma"/>
          <w:sz w:val="23"/>
          <w:szCs w:val="23"/>
        </w:rPr>
      </w:pPr>
    </w:p>
    <w:p w:rsidR="00AD08AD" w:rsidRPr="00A704A4" w:rsidRDefault="00AD08AD" w:rsidP="00AD08AD">
      <w:pPr>
        <w:pStyle w:val="Prrafodelista"/>
        <w:numPr>
          <w:ilvl w:val="0"/>
          <w:numId w:val="15"/>
        </w:numPr>
        <w:ind w:left="1134" w:hanging="567"/>
        <w:jc w:val="both"/>
        <w:rPr>
          <w:rFonts w:ascii="Tahoma" w:hAnsi="Tahoma" w:cs="Tahoma"/>
          <w:sz w:val="23"/>
          <w:szCs w:val="23"/>
        </w:rPr>
      </w:pPr>
      <w:r w:rsidRPr="00A704A4">
        <w:rPr>
          <w:rFonts w:ascii="Tahoma" w:hAnsi="Tahoma" w:cs="Tahoma"/>
          <w:sz w:val="23"/>
          <w:szCs w:val="23"/>
        </w:rPr>
        <w:t xml:space="preserve">Asimismo, agregó que la Carta Nº 357-2007-GL/MN de fecha 24 de agosto del 2007, remitida vía fax, no puede ser subsanada en virtud a lo </w:t>
      </w:r>
      <w:r w:rsidRPr="00A704A4">
        <w:rPr>
          <w:rFonts w:ascii="Tahoma" w:hAnsi="Tahoma" w:cs="Tahoma"/>
          <w:sz w:val="23"/>
          <w:szCs w:val="23"/>
        </w:rPr>
        <w:lastRenderedPageBreak/>
        <w:t>establecido en el artículo 27 de la Ley Nº 27444, el cual se refiere a las notificaciones defectuosas por omisión de alguno de sus requisitos de contenido según lo señalado en el artículo 24 de dicha Ley, toda vez que en el presente caso la notificación no adolece de dichos requisitos, sino que la modalidad empleada no debió ser utilizada, por lo cual se vició hasta su nulidad, tal como lo establece el artículo 20 antes señalado, la misma que no puede ser subsanada bajo ningún motivo o circunstancia.</w:t>
      </w:r>
    </w:p>
    <w:p w:rsidR="00AD08AD" w:rsidRPr="00A704A4" w:rsidRDefault="00AD08AD" w:rsidP="00AD08AD">
      <w:pPr>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En cuanto a lo alegado por el Postor, es preciso señalar que fluye de la revisión de los antecedentes administrativos que la buena pro fue otorgada en acto público el 10 de agosto de 2007, y siendo que en el ítem que participó el Postor éste no fue el único participante, se debía esperar que transcurran los ocho días hábiles para que la adjudicación quede consentida. Así, el consentimiento de la buena pro se produjo el 22 de agosto de 2007, por lo que la Entidad dentro de los cinco (5) días hábiles, es decir hasta el día 29 de agosto de 2007, debía citar al Postor para que cumpla con suscribir el contrato.</w:t>
      </w:r>
    </w:p>
    <w:p w:rsidR="00AD08AD" w:rsidRPr="00A704A4" w:rsidRDefault="00AD08AD" w:rsidP="00AD08AD">
      <w:pPr>
        <w:ind w:left="567"/>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 xml:space="preserve">Ahora bien, la Entidad señaló en el Informe Técnico - Legal 2007 – GL – OAJ-MN de fecha 12 de noviembre del 2007, que a “través de la Carta Nº 357-2007-GL/MM, del 24 de agosto del 2007, (remitida vía fax el 27 de agosto del 2007) comunicó a la empresa DITRANSERVA SAC, que debía presentar la documentación correspondiente para la celebración del contrato, otorgándole diez (10) hábiles para apersonarse a la Entidad”, no obstante ello, no obra documento alguno en el presente expediente que permita acreditar que la Entidad haya comunicado dicha carta de manera personal al Postor o, en todo caso, que haya tenido la autorización expresa por parte de éste a fin que se notifique la carta de citación bajo la modalidad vía fax. </w:t>
      </w:r>
    </w:p>
    <w:p w:rsidR="008326D9" w:rsidRPr="00A704A4" w:rsidRDefault="008326D9" w:rsidP="008326D9">
      <w:pPr>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contextualSpacing/>
        <w:jc w:val="both"/>
        <w:rPr>
          <w:rFonts w:ascii="Tahoma" w:hAnsi="Tahoma" w:cs="Tahoma"/>
          <w:sz w:val="23"/>
          <w:szCs w:val="23"/>
        </w:rPr>
      </w:pPr>
      <w:r w:rsidRPr="00A704A4">
        <w:rPr>
          <w:rFonts w:ascii="Tahoma" w:hAnsi="Tahoma" w:cs="Tahoma"/>
          <w:sz w:val="23"/>
          <w:szCs w:val="23"/>
        </w:rPr>
        <w:t>En efecto, conforme a lo establecido en anteriores pronunciamientos</w:t>
      </w:r>
      <w:r w:rsidRPr="00A704A4">
        <w:rPr>
          <w:rStyle w:val="Refdenotaalpie"/>
          <w:rFonts w:ascii="Tahoma" w:hAnsi="Tahoma" w:cs="Tahoma"/>
          <w:sz w:val="23"/>
          <w:szCs w:val="23"/>
        </w:rPr>
        <w:footnoteReference w:id="3"/>
      </w:r>
      <w:r w:rsidRPr="00A704A4">
        <w:rPr>
          <w:rFonts w:ascii="Tahoma" w:hAnsi="Tahoma" w:cs="Tahoma"/>
          <w:sz w:val="23"/>
          <w:szCs w:val="23"/>
        </w:rPr>
        <w:t>, este Colegiado considera que la Entidad puede practicar algunas de las modalidades de notificación establecidas en el artículo 20 de la Ley del Procedimiento Administrativo General, Ley Nº 27444</w:t>
      </w:r>
      <w:r w:rsidRPr="00A704A4">
        <w:rPr>
          <w:rStyle w:val="Refdenotaalpie"/>
          <w:rFonts w:ascii="Tahoma" w:hAnsi="Tahoma" w:cs="Tahoma"/>
          <w:sz w:val="23"/>
          <w:szCs w:val="23"/>
        </w:rPr>
        <w:footnoteReference w:id="4"/>
      </w:r>
      <w:r w:rsidRPr="00A704A4">
        <w:rPr>
          <w:rFonts w:ascii="Tahoma" w:hAnsi="Tahoma" w:cs="Tahoma"/>
          <w:sz w:val="23"/>
          <w:szCs w:val="23"/>
        </w:rPr>
        <w:t xml:space="preserve"> (norma aplicada de </w:t>
      </w:r>
      <w:r w:rsidRPr="00A704A4">
        <w:rPr>
          <w:rFonts w:ascii="Tahoma" w:hAnsi="Tahoma" w:cs="Tahoma"/>
          <w:sz w:val="23"/>
          <w:szCs w:val="23"/>
        </w:rPr>
        <w:lastRenderedPageBreak/>
        <w:t>manera supletoria a todos los procedimientos administrativos), diferente a la notificación personal, siempre y cuando el Administrado haya dado su autorización expresa o cuando la Entidad, a pesar de haber realizado todos los actos para buscar una notificación de manera personal, estos resultan infructuosos, debiendo documentarse los resultados negativos de dichos actos.</w:t>
      </w:r>
    </w:p>
    <w:p w:rsidR="00AD08AD" w:rsidRPr="00A704A4" w:rsidRDefault="00AD08AD" w:rsidP="00AD08AD">
      <w:pPr>
        <w:ind w:left="567"/>
        <w:contextualSpacing/>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contextualSpacing/>
        <w:jc w:val="both"/>
        <w:rPr>
          <w:rFonts w:ascii="Tahoma" w:hAnsi="Tahoma" w:cs="Tahoma"/>
          <w:sz w:val="23"/>
          <w:szCs w:val="23"/>
        </w:rPr>
      </w:pPr>
      <w:r w:rsidRPr="00A704A4">
        <w:rPr>
          <w:rFonts w:ascii="Tahoma" w:hAnsi="Tahoma" w:cs="Tahoma"/>
          <w:sz w:val="23"/>
          <w:szCs w:val="23"/>
        </w:rPr>
        <w:t>Cabe precisar que lo señalado en el párrafo anterior, se sustenta por lo señalado por Juan Carlos Morón Urbina, en su obra “Comentarios a la Ley del Procedimiento Administrativo General”, en el cual señala que: “</w:t>
      </w:r>
      <w:r w:rsidRPr="00A704A4">
        <w:rPr>
          <w:rFonts w:ascii="Tahoma" w:hAnsi="Tahoma" w:cs="Tahoma"/>
          <w:b/>
          <w:i/>
          <w:sz w:val="23"/>
          <w:szCs w:val="23"/>
        </w:rPr>
        <w:t>Este orden de prelación busca promover la obtención de una notificación personal</w:t>
      </w:r>
      <w:r w:rsidRPr="00A704A4">
        <w:rPr>
          <w:rFonts w:ascii="Tahoma" w:hAnsi="Tahoma" w:cs="Tahoma"/>
          <w:i/>
          <w:sz w:val="23"/>
          <w:szCs w:val="23"/>
        </w:rPr>
        <w:t>, en vez de acudir fácilmente al expediente de la publicación, indudablemente menos garantista. En cuya consecuencia, resulta viciada la publicación cuando existe un administrado conocido y domiciliado ante la Administración o se encuentra en posibilidades de conocer estas condiciones. Así lo ha respaldado repetidamente nuestro Tribunal Constitucional al declarar fundados amparos contra diversas entidades que acudan cómodamente a la publicación sin agotar la notificación personal”</w:t>
      </w:r>
      <w:r w:rsidRPr="00A704A4">
        <w:rPr>
          <w:rFonts w:ascii="Tahoma" w:hAnsi="Tahoma" w:cs="Tahoma"/>
          <w:sz w:val="23"/>
          <w:szCs w:val="23"/>
        </w:rPr>
        <w:t>; por lo tanto, la razón por la cual se impone rígidamente un orden de prelación de modalidades de notificación, es que se trata de dotar al administrado de una mayor garantía en la notificación, estableciendo como prioridad y prevalencia de la notificación personal en detrimento de otras modalidades de notificación y, justamente, se sanciona con nulidad el hecho de transgredir el orden impuesto, porque se quiere impedir que las Entidades recurran a las otras formas de notificar por comodidad o economía.</w:t>
      </w:r>
    </w:p>
    <w:p w:rsidR="00AD08AD" w:rsidRPr="00A704A4" w:rsidRDefault="00AD08AD" w:rsidP="00AD08AD">
      <w:pPr>
        <w:pStyle w:val="Prrafodelista"/>
        <w:rPr>
          <w:rFonts w:ascii="Tahoma" w:hAnsi="Tahoma" w:cs="Tahoma"/>
          <w:sz w:val="23"/>
          <w:szCs w:val="23"/>
        </w:rPr>
      </w:pPr>
    </w:p>
    <w:p w:rsidR="00AD08AD" w:rsidRPr="00A704A4" w:rsidRDefault="00AD08AD" w:rsidP="00AD08AD">
      <w:pPr>
        <w:ind w:left="567"/>
        <w:jc w:val="both"/>
        <w:rPr>
          <w:rFonts w:ascii="Tahoma" w:hAnsi="Tahoma" w:cs="Tahoma"/>
          <w:sz w:val="23"/>
          <w:szCs w:val="23"/>
        </w:rPr>
      </w:pPr>
      <w:r w:rsidRPr="00A704A4">
        <w:rPr>
          <w:rFonts w:ascii="Tahoma" w:hAnsi="Tahoma" w:cs="Tahoma"/>
          <w:sz w:val="23"/>
          <w:szCs w:val="23"/>
        </w:rPr>
        <w:t>Esta razón se impone debido que una Entidad, con el fin de ahorrar recursos, puede tomar la decisión de evitar las notificaciones personales por engorrosas y onerosas, y efectuar sus notificaciones vía fax o correo electrónico, a pesar de conocer el domicilio del administrado, es por ello que la administración no está facultada para escoger de manera arbitraría la modalidad de notificación, sino que esta constreñida a respetar el procedimiento y el orden de prelación establecido.</w:t>
      </w:r>
    </w:p>
    <w:p w:rsidR="00AD08AD" w:rsidRPr="00A704A4" w:rsidRDefault="00AD08AD" w:rsidP="00AD08AD">
      <w:pPr>
        <w:pStyle w:val="Prrafodelista"/>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contextualSpacing/>
        <w:jc w:val="both"/>
        <w:rPr>
          <w:rFonts w:ascii="Tahoma" w:hAnsi="Tahoma" w:cs="Tahoma"/>
          <w:sz w:val="23"/>
          <w:szCs w:val="23"/>
        </w:rPr>
      </w:pPr>
      <w:r w:rsidRPr="00A704A4">
        <w:rPr>
          <w:rFonts w:ascii="Tahoma" w:hAnsi="Tahoma" w:cs="Tahoma"/>
          <w:sz w:val="23"/>
          <w:szCs w:val="23"/>
        </w:rPr>
        <w:t xml:space="preserve">De todo ello, si bien es cierto obra en el presente expediente la Carta № 357-2007-GL/MM en la cual la Entidad citó al Postor para que dentro del plazo establecido en las Bases (10 días hábiles) cumpla con suscribir el contrato respectivo, no es menos cierto que conforme a la documentación obrante en </w:t>
      </w:r>
      <w:r w:rsidRPr="00A704A4">
        <w:rPr>
          <w:rFonts w:ascii="Tahoma" w:hAnsi="Tahoma" w:cs="Tahoma"/>
          <w:sz w:val="23"/>
          <w:szCs w:val="23"/>
        </w:rPr>
        <w:lastRenderedPageBreak/>
        <w:t>autos, la Entidad no ha acreditado que haya notificado de manera personal documento alguno que cite al Postor para la suscripción del contrato, asimismo, la Entidad tampoco ha demostrado que realizó todos los actos destinados a buscar una notificación de manera personal para cumplir con el procedimiento de suscripción del contrato</w:t>
      </w:r>
      <w:r w:rsidRPr="00A704A4">
        <w:rPr>
          <w:rStyle w:val="Refdenotaalpie"/>
          <w:rFonts w:ascii="Tahoma" w:hAnsi="Tahoma" w:cs="Tahoma"/>
          <w:sz w:val="23"/>
          <w:szCs w:val="23"/>
        </w:rPr>
        <w:footnoteReference w:id="5"/>
      </w:r>
      <w:r w:rsidRPr="00A704A4">
        <w:rPr>
          <w:rFonts w:ascii="Tahoma" w:hAnsi="Tahoma" w:cs="Tahoma"/>
          <w:sz w:val="23"/>
          <w:szCs w:val="23"/>
        </w:rPr>
        <w:t>, y de ser infructuosa, documentar los resultados negativos de dicha búsqueda a efectos de practicar algunas de las modalidades de notificación establecidas en el artículo 20 de la Ley del Procedimiento Administrativo General, Ley 27444.</w:t>
      </w:r>
    </w:p>
    <w:p w:rsidR="00AD08AD" w:rsidRPr="00A704A4" w:rsidRDefault="00AD08AD" w:rsidP="00AD08AD">
      <w:pPr>
        <w:contextualSpacing/>
        <w:jc w:val="both"/>
        <w:rPr>
          <w:rFonts w:ascii="Tahoma" w:hAnsi="Tahoma" w:cs="Tahoma"/>
          <w:sz w:val="23"/>
          <w:szCs w:val="23"/>
        </w:rPr>
      </w:pPr>
    </w:p>
    <w:p w:rsidR="00AD08AD" w:rsidRPr="00A704A4" w:rsidRDefault="00AD08AD" w:rsidP="00AD08AD">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Por lo tanto, se ha constatado que la Entidad, al cursar la citación para la firma de contrato mediante fax, sin tener autorización del postor para ello (con omisión de la notificación personal), no ha observado el procedimiento establecido en la Ley del Procedimiento Administrativo General, respecto de la modalidad de notificación, cuyo cumplimiento supone una condición necesaria para evaluar la existencia de eventuales responsabilidades de carácter administrativo por la comisión del supuesto de hecho contenido en el numeral 1 del artículo 294 del Reglamento, referente a la no suscripción injustificada del contrato.</w:t>
      </w:r>
    </w:p>
    <w:p w:rsidR="00F0032F" w:rsidRPr="00A704A4" w:rsidRDefault="00F0032F" w:rsidP="00F0032F">
      <w:pPr>
        <w:pStyle w:val="Prrafodelista"/>
        <w:rPr>
          <w:rFonts w:ascii="Tahoma" w:hAnsi="Tahoma" w:cs="Tahoma"/>
          <w:sz w:val="23"/>
          <w:szCs w:val="23"/>
        </w:rPr>
      </w:pPr>
    </w:p>
    <w:p w:rsidR="00AD08AD" w:rsidRPr="00A704A4" w:rsidRDefault="00AD08AD" w:rsidP="00F0032F">
      <w:pPr>
        <w:numPr>
          <w:ilvl w:val="0"/>
          <w:numId w:val="14"/>
        </w:numPr>
        <w:tabs>
          <w:tab w:val="clear" w:pos="360"/>
          <w:tab w:val="num" w:pos="0"/>
        </w:tabs>
        <w:ind w:left="567" w:hanging="567"/>
        <w:jc w:val="both"/>
        <w:rPr>
          <w:rFonts w:ascii="Tahoma" w:hAnsi="Tahoma" w:cs="Tahoma"/>
          <w:sz w:val="23"/>
          <w:szCs w:val="23"/>
        </w:rPr>
      </w:pPr>
      <w:r w:rsidRPr="00A704A4">
        <w:rPr>
          <w:rFonts w:ascii="Tahoma" w:hAnsi="Tahoma" w:cs="Tahoma"/>
          <w:sz w:val="23"/>
          <w:szCs w:val="23"/>
        </w:rPr>
        <w:t>En ese orden de ideas, luego de haber valorado los hechos en su integridad</w:t>
      </w:r>
      <w:r w:rsidRPr="00A704A4">
        <w:rPr>
          <w:rStyle w:val="Textoennegrita"/>
          <w:rFonts w:ascii="Tahoma" w:hAnsi="Tahoma" w:cs="Tahoma"/>
          <w:sz w:val="23"/>
          <w:szCs w:val="23"/>
        </w:rPr>
        <w:t xml:space="preserve"> este Colegiado concluye que debe variarse el juicio lógico sustentado en la resolución recurrida</w:t>
      </w:r>
      <w:r w:rsidRPr="00A704A4">
        <w:rPr>
          <w:rFonts w:ascii="Tahoma" w:hAnsi="Tahoma" w:cs="Tahoma"/>
          <w:sz w:val="23"/>
          <w:szCs w:val="23"/>
        </w:rPr>
        <w:t xml:space="preserve"> y por su efecto, amparar el recurso de reconsideración interpuesto contra la Resolución № 1796-2010-TC-S1 de fecha 24 de setiembre del 2010, la cual deberá revocarse en todos sus extremos eximiéndose de sanción al impugnante.</w:t>
      </w:r>
    </w:p>
    <w:p w:rsidR="00AD08AD" w:rsidRPr="00A704A4" w:rsidRDefault="00AD08AD" w:rsidP="00AD08AD">
      <w:pPr>
        <w:jc w:val="both"/>
        <w:rPr>
          <w:rFonts w:ascii="Tahoma" w:hAnsi="Tahoma" w:cs="Tahoma"/>
          <w:sz w:val="23"/>
          <w:szCs w:val="23"/>
        </w:rPr>
      </w:pPr>
    </w:p>
    <w:p w:rsidR="00AD08AD" w:rsidRPr="00A704A4" w:rsidRDefault="00AD08AD" w:rsidP="00AD08AD">
      <w:pPr>
        <w:ind w:firstLine="567"/>
        <w:jc w:val="both"/>
        <w:rPr>
          <w:rFonts w:ascii="Tahoma" w:eastAsiaTheme="minorHAnsi" w:hAnsi="Tahoma" w:cs="Tahoma"/>
          <w:color w:val="000000"/>
          <w:sz w:val="23"/>
          <w:szCs w:val="23"/>
        </w:rPr>
      </w:pPr>
      <w:r w:rsidRPr="00A704A4">
        <w:rPr>
          <w:rFonts w:ascii="Tahoma" w:hAnsi="Tahoma" w:cs="Tahoma"/>
          <w:sz w:val="23"/>
          <w:szCs w:val="23"/>
        </w:rPr>
        <w:t xml:space="preserve">Por estos fundamentos, </w:t>
      </w:r>
      <w:r w:rsidRPr="00A704A4">
        <w:rPr>
          <w:rFonts w:ascii="Tahoma" w:hAnsi="Tahoma" w:cs="Tahoma"/>
          <w:color w:val="000000"/>
          <w:sz w:val="23"/>
          <w:szCs w:val="23"/>
        </w:rPr>
        <w:t>de conformidad con el inf</w:t>
      </w:r>
      <w:r w:rsidRPr="00A704A4">
        <w:rPr>
          <w:rFonts w:ascii="Tahoma" w:eastAsia="Calibri" w:hAnsi="Tahoma" w:cs="Tahoma"/>
          <w:color w:val="000000"/>
          <w:sz w:val="23"/>
          <w:szCs w:val="23"/>
        </w:rPr>
        <w:t xml:space="preserve">orme de la Vocal Ponente Dra. Ada Rosa Basulto Liewald y la intervención de los Señores Vocales </w:t>
      </w:r>
      <w:r w:rsidRPr="00A704A4">
        <w:rPr>
          <w:rFonts w:ascii="Tahoma" w:eastAsiaTheme="minorHAnsi" w:hAnsi="Tahoma" w:cs="Tahoma"/>
          <w:color w:val="000000"/>
          <w:sz w:val="23"/>
          <w:szCs w:val="23"/>
        </w:rPr>
        <w:t xml:space="preserve">Dr. Carlos Vicente Navas Rondón y </w:t>
      </w:r>
      <w:r w:rsidRPr="00A704A4">
        <w:rPr>
          <w:rFonts w:ascii="Tahoma" w:eastAsia="Calibri" w:hAnsi="Tahoma" w:cs="Tahoma"/>
          <w:color w:val="000000"/>
          <w:sz w:val="23"/>
          <w:szCs w:val="23"/>
        </w:rPr>
        <w:t xml:space="preserve">Dra. Janette Elke Ramírez Maynetto; </w:t>
      </w:r>
      <w:r w:rsidRPr="00A704A4">
        <w:rPr>
          <w:rFonts w:ascii="Tahoma" w:eastAsiaTheme="minorHAnsi" w:hAnsi="Tahoma" w:cs="Tahoma"/>
          <w:color w:val="000000"/>
          <w:sz w:val="23"/>
          <w:szCs w:val="23"/>
        </w:rPr>
        <w:t>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006-2009-EF, analizados los antecedentes y luego de agotado el debate correspondiente, por mayoría</w:t>
      </w:r>
    </w:p>
    <w:p w:rsidR="00AD08AD" w:rsidRPr="00A704A4" w:rsidRDefault="00AD08AD" w:rsidP="00AD08AD">
      <w:pPr>
        <w:jc w:val="both"/>
        <w:rPr>
          <w:rFonts w:ascii="Tahoma" w:hAnsi="Tahoma" w:cs="Tahoma"/>
          <w:b/>
          <w:sz w:val="23"/>
          <w:szCs w:val="23"/>
        </w:rPr>
      </w:pPr>
      <w:r w:rsidRPr="00A704A4">
        <w:rPr>
          <w:rFonts w:ascii="Tahoma" w:hAnsi="Tahoma" w:cs="Tahoma"/>
          <w:b/>
          <w:sz w:val="23"/>
          <w:szCs w:val="23"/>
        </w:rPr>
        <w:lastRenderedPageBreak/>
        <w:t xml:space="preserve">LA SALA RESUELVE: </w:t>
      </w:r>
    </w:p>
    <w:p w:rsidR="00AD08AD" w:rsidRPr="00A704A4" w:rsidRDefault="00AD08AD" w:rsidP="00AD08AD">
      <w:pPr>
        <w:jc w:val="both"/>
        <w:rPr>
          <w:rFonts w:ascii="Tahoma" w:hAnsi="Tahoma" w:cs="Tahoma"/>
          <w:snapToGrid w:val="0"/>
          <w:sz w:val="23"/>
          <w:szCs w:val="23"/>
        </w:rPr>
      </w:pPr>
    </w:p>
    <w:p w:rsidR="00AD08AD" w:rsidRPr="00A704A4" w:rsidRDefault="00AD08AD" w:rsidP="00AD08AD">
      <w:pPr>
        <w:numPr>
          <w:ilvl w:val="0"/>
          <w:numId w:val="16"/>
        </w:numPr>
        <w:ind w:left="540" w:hanging="540"/>
        <w:jc w:val="both"/>
        <w:rPr>
          <w:rFonts w:ascii="Tahoma" w:hAnsi="Tahoma" w:cs="Tahoma"/>
          <w:sz w:val="23"/>
          <w:szCs w:val="23"/>
        </w:rPr>
      </w:pPr>
      <w:r w:rsidRPr="00A704A4">
        <w:rPr>
          <w:rFonts w:ascii="Tahoma" w:hAnsi="Tahoma" w:cs="Tahoma"/>
          <w:bCs/>
          <w:sz w:val="23"/>
          <w:szCs w:val="23"/>
        </w:rPr>
        <w:t xml:space="preserve">Declarar fundado el recurso de reconsideración interpuesto por </w:t>
      </w:r>
      <w:r w:rsidRPr="00A704A4">
        <w:rPr>
          <w:rFonts w:ascii="Tahoma" w:hAnsi="Tahoma" w:cs="Tahoma"/>
          <w:sz w:val="23"/>
          <w:szCs w:val="23"/>
        </w:rPr>
        <w:t>la empresa DITRANSERVA S.A.C</w:t>
      </w:r>
      <w:r w:rsidRPr="00A704A4">
        <w:rPr>
          <w:rFonts w:ascii="Tahoma" w:hAnsi="Tahoma" w:cs="Tahoma"/>
          <w:bCs/>
          <w:sz w:val="23"/>
          <w:szCs w:val="23"/>
        </w:rPr>
        <w:t xml:space="preserve">. contra la </w:t>
      </w:r>
      <w:r w:rsidRPr="00A704A4">
        <w:rPr>
          <w:rFonts w:ascii="Tahoma" w:hAnsi="Tahoma" w:cs="Tahoma"/>
          <w:sz w:val="23"/>
          <w:szCs w:val="23"/>
        </w:rPr>
        <w:t>Resolución № 1796-2010-TC-S1 de fecha 24 de setiembre del 2010</w:t>
      </w:r>
      <w:r w:rsidRPr="00A704A4">
        <w:rPr>
          <w:rFonts w:ascii="Tahoma" w:hAnsi="Tahoma" w:cs="Tahoma"/>
          <w:bCs/>
          <w:sz w:val="23"/>
          <w:szCs w:val="23"/>
        </w:rPr>
        <w:t>, que dispuso imponerle sanción administrativa de inhabilitación temporal en sus derechos para participar en procesos de selección y contratar con el Estado por el periodo de quince (15) meses y, por su efecto, revocar en todos sus extremos la citada decisión y por ende declarar no ha lugar la imposición de sanción a la referida empresa, por los fundamentos expuestos</w:t>
      </w:r>
      <w:r w:rsidRPr="00A704A4">
        <w:rPr>
          <w:rFonts w:ascii="Tahoma" w:hAnsi="Tahoma" w:cs="Tahoma"/>
          <w:sz w:val="23"/>
          <w:szCs w:val="23"/>
        </w:rPr>
        <w:t>.</w:t>
      </w:r>
    </w:p>
    <w:p w:rsidR="00AD08AD" w:rsidRPr="00A704A4" w:rsidRDefault="00AD08AD" w:rsidP="00AD08AD">
      <w:pPr>
        <w:ind w:left="540"/>
        <w:jc w:val="both"/>
        <w:rPr>
          <w:rFonts w:ascii="Tahoma" w:hAnsi="Tahoma" w:cs="Tahoma"/>
          <w:sz w:val="23"/>
          <w:szCs w:val="23"/>
        </w:rPr>
      </w:pPr>
    </w:p>
    <w:p w:rsidR="00AD08AD" w:rsidRPr="00A704A4" w:rsidRDefault="00AD08AD" w:rsidP="00AD08AD">
      <w:pPr>
        <w:numPr>
          <w:ilvl w:val="0"/>
          <w:numId w:val="16"/>
        </w:numPr>
        <w:ind w:left="540" w:hanging="540"/>
        <w:jc w:val="both"/>
        <w:rPr>
          <w:rFonts w:ascii="Tahoma" w:hAnsi="Tahoma" w:cs="Tahoma"/>
          <w:sz w:val="23"/>
          <w:szCs w:val="23"/>
        </w:rPr>
      </w:pPr>
      <w:r w:rsidRPr="00A704A4">
        <w:rPr>
          <w:rFonts w:ascii="Tahoma" w:hAnsi="Tahoma" w:cs="Tahoma"/>
          <w:sz w:val="23"/>
          <w:szCs w:val="23"/>
        </w:rPr>
        <w:t>Devolver la g</w:t>
      </w:r>
      <w:r w:rsidR="00F93F8C">
        <w:rPr>
          <w:rFonts w:ascii="Tahoma" w:hAnsi="Tahoma" w:cs="Tahoma"/>
          <w:sz w:val="23"/>
          <w:szCs w:val="23"/>
        </w:rPr>
        <w:t>arantía otorgada</w:t>
      </w:r>
      <w:r w:rsidRPr="00A704A4">
        <w:rPr>
          <w:rFonts w:ascii="Tahoma" w:hAnsi="Tahoma" w:cs="Tahoma"/>
          <w:sz w:val="23"/>
          <w:szCs w:val="23"/>
        </w:rPr>
        <w:t xml:space="preserve"> por la interposición del recurso de reconsideración contra la Resolución №  1796-2010-TC-S1</w:t>
      </w:r>
      <w:r w:rsidR="001F77DB" w:rsidRPr="00A704A4">
        <w:rPr>
          <w:rFonts w:ascii="Tahoma" w:hAnsi="Tahoma" w:cs="Tahoma"/>
          <w:sz w:val="23"/>
          <w:szCs w:val="23"/>
        </w:rPr>
        <w:t xml:space="preserve"> de fecha 24 de setiembre del 2010</w:t>
      </w:r>
      <w:r w:rsidRPr="00A704A4">
        <w:rPr>
          <w:rFonts w:ascii="Tahoma" w:hAnsi="Tahoma" w:cs="Tahoma"/>
          <w:sz w:val="23"/>
          <w:szCs w:val="23"/>
        </w:rPr>
        <w:t>.</w:t>
      </w:r>
    </w:p>
    <w:p w:rsidR="00AD08AD" w:rsidRPr="00A704A4" w:rsidRDefault="00AD08AD" w:rsidP="00AD08AD">
      <w:pPr>
        <w:jc w:val="both"/>
        <w:rPr>
          <w:rFonts w:ascii="Tahoma" w:hAnsi="Tahoma" w:cs="Tahoma"/>
          <w:sz w:val="23"/>
          <w:szCs w:val="23"/>
        </w:rPr>
      </w:pPr>
    </w:p>
    <w:p w:rsidR="00AD08AD" w:rsidRPr="00A704A4" w:rsidRDefault="00AD08AD" w:rsidP="00AD08AD">
      <w:pPr>
        <w:numPr>
          <w:ilvl w:val="0"/>
          <w:numId w:val="16"/>
        </w:numPr>
        <w:ind w:left="540" w:hanging="540"/>
        <w:jc w:val="both"/>
        <w:rPr>
          <w:rFonts w:ascii="Tahoma" w:hAnsi="Tahoma" w:cs="Tahoma"/>
          <w:sz w:val="23"/>
          <w:szCs w:val="23"/>
        </w:rPr>
      </w:pPr>
      <w:r w:rsidRPr="00A704A4">
        <w:rPr>
          <w:rFonts w:ascii="Tahoma" w:hAnsi="Tahoma" w:cs="Tahoma"/>
          <w:sz w:val="23"/>
          <w:szCs w:val="23"/>
        </w:rPr>
        <w:t>Poner la presente Resolución en conocimiento de la Subdirección del Registro Nacional de Proveedores del Organismo Supervisor de</w:t>
      </w:r>
      <w:r w:rsidR="001F77DB" w:rsidRPr="00A704A4">
        <w:rPr>
          <w:rFonts w:ascii="Tahoma" w:hAnsi="Tahoma" w:cs="Tahoma"/>
          <w:sz w:val="23"/>
          <w:szCs w:val="23"/>
        </w:rPr>
        <w:t xml:space="preserve"> las</w:t>
      </w:r>
      <w:r w:rsidRPr="00A704A4">
        <w:rPr>
          <w:rFonts w:ascii="Tahoma" w:hAnsi="Tahoma" w:cs="Tahoma"/>
          <w:sz w:val="23"/>
          <w:szCs w:val="23"/>
        </w:rPr>
        <w:t xml:space="preserve"> Contrataciones del Estado (OSCE), para las anotaciones de ley. </w:t>
      </w:r>
    </w:p>
    <w:p w:rsidR="00AD08AD" w:rsidRPr="00A704A4" w:rsidRDefault="00AD08AD" w:rsidP="00AD08AD">
      <w:pPr>
        <w:pStyle w:val="Prrafodelista"/>
        <w:ind w:left="567"/>
        <w:rPr>
          <w:rFonts w:ascii="Tahoma" w:hAnsi="Tahoma" w:cs="Tahoma"/>
          <w:sz w:val="23"/>
          <w:szCs w:val="23"/>
        </w:rPr>
      </w:pPr>
    </w:p>
    <w:p w:rsidR="00AD08AD" w:rsidRPr="00A704A4" w:rsidRDefault="00AD08AD" w:rsidP="00AD08AD">
      <w:pPr>
        <w:numPr>
          <w:ilvl w:val="0"/>
          <w:numId w:val="16"/>
        </w:numPr>
        <w:ind w:left="540" w:hanging="540"/>
        <w:jc w:val="both"/>
        <w:rPr>
          <w:rFonts w:ascii="Tahoma" w:hAnsi="Tahoma" w:cs="Tahoma"/>
          <w:sz w:val="23"/>
          <w:szCs w:val="23"/>
        </w:rPr>
      </w:pPr>
      <w:r w:rsidRPr="00A704A4">
        <w:rPr>
          <w:rFonts w:ascii="Tahoma" w:hAnsi="Tahoma" w:cs="Tahoma"/>
          <w:sz w:val="23"/>
          <w:szCs w:val="23"/>
        </w:rPr>
        <w:t xml:space="preserve">Dar por agotada la vía administrativa. </w:t>
      </w:r>
    </w:p>
    <w:p w:rsidR="00AD08AD" w:rsidRPr="00A704A4" w:rsidRDefault="00AD08AD" w:rsidP="00AD08AD">
      <w:pPr>
        <w:pStyle w:val="Prrafodelista"/>
        <w:ind w:left="426"/>
        <w:jc w:val="both"/>
        <w:rPr>
          <w:rFonts w:ascii="Tahoma" w:hAnsi="Tahoma" w:cs="Tahoma"/>
          <w:color w:val="000000" w:themeColor="text1"/>
          <w:sz w:val="23"/>
          <w:szCs w:val="23"/>
          <w:lang w:val="es-ES"/>
        </w:rPr>
      </w:pPr>
    </w:p>
    <w:p w:rsidR="00AD08AD" w:rsidRPr="00A704A4" w:rsidRDefault="00AD08AD" w:rsidP="00AD08AD">
      <w:pPr>
        <w:pStyle w:val="Textoindependiente21"/>
        <w:ind w:firstLine="567"/>
        <w:rPr>
          <w:rFonts w:cs="Tahoma"/>
          <w:sz w:val="23"/>
          <w:szCs w:val="23"/>
        </w:rPr>
      </w:pPr>
      <w:r w:rsidRPr="00A704A4">
        <w:rPr>
          <w:rFonts w:cs="Tahoma"/>
          <w:sz w:val="23"/>
          <w:szCs w:val="23"/>
        </w:rPr>
        <w:t>Regístrese, comuníquese y publíquese.</w:t>
      </w: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z w:val="23"/>
          <w:szCs w:val="23"/>
        </w:rPr>
      </w:pPr>
    </w:p>
    <w:p w:rsidR="00AD08AD" w:rsidRPr="00A704A4" w:rsidRDefault="00AD08AD" w:rsidP="00AD08AD">
      <w:pPr>
        <w:jc w:val="center"/>
        <w:rPr>
          <w:rFonts w:ascii="Tahoma" w:hAnsi="Tahoma" w:cs="Tahoma"/>
          <w:b/>
          <w:shadow/>
          <w:sz w:val="23"/>
          <w:szCs w:val="23"/>
          <w:lang w:val="pt-BR"/>
        </w:rPr>
      </w:pPr>
      <w:r w:rsidRPr="00A704A4">
        <w:rPr>
          <w:rFonts w:ascii="Tahoma" w:hAnsi="Tahoma" w:cs="Tahoma"/>
          <w:b/>
          <w:shadow/>
          <w:sz w:val="23"/>
          <w:szCs w:val="23"/>
          <w:lang w:val="pt-BR"/>
        </w:rPr>
        <w:t>PRESIDENTE</w:t>
      </w:r>
    </w:p>
    <w:p w:rsidR="00AD08AD" w:rsidRPr="00A704A4" w:rsidRDefault="00AD08AD" w:rsidP="00AD08AD">
      <w:pPr>
        <w:ind w:firstLine="708"/>
        <w:rPr>
          <w:rFonts w:ascii="Tahoma" w:hAnsi="Tahoma" w:cs="Tahoma"/>
          <w:b/>
          <w:shadow/>
          <w:sz w:val="23"/>
          <w:szCs w:val="23"/>
          <w:lang w:val="pt-BR"/>
        </w:rPr>
      </w:pPr>
      <w:r w:rsidRPr="00A704A4">
        <w:rPr>
          <w:rFonts w:ascii="Tahoma" w:hAnsi="Tahoma" w:cs="Tahoma"/>
          <w:b/>
          <w:shadow/>
          <w:sz w:val="23"/>
          <w:szCs w:val="23"/>
          <w:lang w:val="pt-BR"/>
        </w:rPr>
        <w:tab/>
      </w:r>
      <w:r w:rsidRPr="00A704A4">
        <w:rPr>
          <w:rFonts w:ascii="Tahoma" w:hAnsi="Tahoma" w:cs="Tahoma"/>
          <w:b/>
          <w:shadow/>
          <w:sz w:val="23"/>
          <w:szCs w:val="23"/>
          <w:lang w:val="pt-BR"/>
        </w:rPr>
        <w:tab/>
        <w:t xml:space="preserve">                                                                                VOCAL</w:t>
      </w:r>
    </w:p>
    <w:p w:rsidR="00AD08AD" w:rsidRPr="00A704A4" w:rsidRDefault="00AD08AD" w:rsidP="00AD08AD">
      <w:pPr>
        <w:jc w:val="both"/>
        <w:rPr>
          <w:rFonts w:ascii="Tahoma" w:hAnsi="Tahoma" w:cs="Tahoma"/>
          <w:sz w:val="23"/>
          <w:szCs w:val="23"/>
          <w:lang w:val="pt-BR"/>
        </w:rPr>
      </w:pPr>
      <w:r w:rsidRPr="00A704A4">
        <w:rPr>
          <w:rFonts w:ascii="Tahoma" w:hAnsi="Tahoma" w:cs="Tahoma"/>
          <w:sz w:val="23"/>
          <w:szCs w:val="23"/>
          <w:lang w:val="pt-BR"/>
        </w:rPr>
        <w:t>ss.</w:t>
      </w:r>
    </w:p>
    <w:p w:rsidR="00AD08AD" w:rsidRPr="00A704A4" w:rsidRDefault="00AD08AD" w:rsidP="00AD08AD">
      <w:pPr>
        <w:pStyle w:val="Textoindependiente21"/>
        <w:tabs>
          <w:tab w:val="left" w:pos="5250"/>
        </w:tabs>
        <w:rPr>
          <w:rFonts w:cs="Tahoma"/>
          <w:sz w:val="23"/>
          <w:szCs w:val="23"/>
          <w:lang w:val="pt-BR"/>
        </w:rPr>
      </w:pPr>
      <w:r w:rsidRPr="00A704A4">
        <w:rPr>
          <w:rFonts w:cs="Tahoma"/>
          <w:sz w:val="23"/>
          <w:szCs w:val="23"/>
          <w:lang w:val="pt-BR"/>
        </w:rPr>
        <w:t>Navas Rondón.</w:t>
      </w:r>
    </w:p>
    <w:p w:rsidR="00AD08AD" w:rsidRPr="00A704A4" w:rsidRDefault="00AD08AD" w:rsidP="00AD08AD">
      <w:pPr>
        <w:pStyle w:val="Textoindependiente21"/>
        <w:rPr>
          <w:rFonts w:cs="Tahoma"/>
          <w:sz w:val="23"/>
          <w:szCs w:val="23"/>
        </w:rPr>
      </w:pPr>
      <w:r w:rsidRPr="00A704A4">
        <w:rPr>
          <w:rFonts w:cs="Tahoma"/>
          <w:sz w:val="23"/>
          <w:szCs w:val="23"/>
        </w:rPr>
        <w:t>Basulto Liewald.</w:t>
      </w:r>
    </w:p>
    <w:p w:rsidR="004077D4" w:rsidRDefault="004077D4">
      <w:pPr>
        <w:spacing w:after="200" w:line="276" w:lineRule="auto"/>
        <w:rPr>
          <w:sz w:val="23"/>
          <w:szCs w:val="23"/>
        </w:rPr>
      </w:pPr>
      <w:r>
        <w:rPr>
          <w:sz w:val="23"/>
          <w:szCs w:val="23"/>
        </w:rPr>
        <w:br w:type="page"/>
      </w:r>
    </w:p>
    <w:p w:rsidR="004077D4" w:rsidRPr="005B3394" w:rsidRDefault="004077D4" w:rsidP="004077D4">
      <w:pPr>
        <w:jc w:val="center"/>
        <w:rPr>
          <w:rFonts w:ascii="Tahoma" w:hAnsi="Tahoma" w:cs="Tahoma"/>
          <w:b/>
          <w:sz w:val="23"/>
          <w:szCs w:val="23"/>
        </w:rPr>
      </w:pPr>
      <w:r w:rsidRPr="005B3394">
        <w:rPr>
          <w:rFonts w:ascii="Tahoma" w:hAnsi="Tahoma" w:cs="Tahoma"/>
          <w:b/>
          <w:sz w:val="23"/>
          <w:szCs w:val="23"/>
        </w:rPr>
        <w:lastRenderedPageBreak/>
        <w:t xml:space="preserve">VOTO EN DISCORDIA DE </w:t>
      </w:r>
      <w:smartTag w:uri="urn:schemas-microsoft-com:office:smarttags" w:element="PersonName">
        <w:smartTagPr>
          <w:attr w:name="ProductID" w:val="LA VOCAL DE"/>
        </w:smartTagPr>
        <w:r w:rsidRPr="005B3394">
          <w:rPr>
            <w:rFonts w:ascii="Tahoma" w:hAnsi="Tahoma" w:cs="Tahoma"/>
            <w:b/>
            <w:sz w:val="23"/>
            <w:szCs w:val="23"/>
          </w:rPr>
          <w:t>LA VOCAL DE</w:t>
        </w:r>
      </w:smartTag>
      <w:r w:rsidRPr="005B3394">
        <w:rPr>
          <w:rFonts w:ascii="Tahoma" w:hAnsi="Tahoma" w:cs="Tahoma"/>
          <w:b/>
          <w:sz w:val="23"/>
          <w:szCs w:val="23"/>
        </w:rPr>
        <w:t xml:space="preserve"> </w:t>
      </w:r>
      <w:smartTag w:uri="urn:schemas-microsoft-com:office:smarttags" w:element="PersonName">
        <w:smartTagPr>
          <w:attr w:name="ProductID" w:val="LA PRIMERA SALA"/>
        </w:smartTagPr>
        <w:r w:rsidRPr="005B3394">
          <w:rPr>
            <w:rFonts w:ascii="Tahoma" w:hAnsi="Tahoma" w:cs="Tahoma"/>
            <w:b/>
            <w:sz w:val="23"/>
            <w:szCs w:val="23"/>
          </w:rPr>
          <w:t>LA PRIMERA SALA</w:t>
        </w:r>
      </w:smartTag>
    </w:p>
    <w:p w:rsidR="004077D4" w:rsidRPr="005B3394" w:rsidRDefault="004077D4" w:rsidP="004077D4">
      <w:pPr>
        <w:jc w:val="center"/>
        <w:rPr>
          <w:rFonts w:ascii="Tahoma" w:hAnsi="Tahoma" w:cs="Tahoma"/>
          <w:b/>
          <w:sz w:val="23"/>
          <w:szCs w:val="23"/>
        </w:rPr>
      </w:pPr>
      <w:r w:rsidRPr="005B3394">
        <w:rPr>
          <w:rFonts w:ascii="Tahoma" w:hAnsi="Tahoma" w:cs="Tahoma"/>
          <w:b/>
          <w:sz w:val="23"/>
          <w:szCs w:val="23"/>
        </w:rPr>
        <w:t xml:space="preserve"> JANETTE ELKE RAMÍREZ MAYNETTO</w:t>
      </w: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smartTag w:uri="urn:schemas-microsoft-com:office:smarttags" w:element="PersonName">
        <w:smartTagPr>
          <w:attr w:name="ProductID" w:val="La Vocal"/>
        </w:smartTagPr>
        <w:r w:rsidRPr="005B3394">
          <w:rPr>
            <w:rFonts w:ascii="Tahoma" w:hAnsi="Tahoma" w:cs="Tahoma"/>
            <w:sz w:val="23"/>
            <w:szCs w:val="23"/>
          </w:rPr>
          <w:t>La Vocal</w:t>
        </w:r>
      </w:smartTag>
      <w:r w:rsidRPr="005B3394">
        <w:rPr>
          <w:rFonts w:ascii="Tahoma" w:hAnsi="Tahoma" w:cs="Tahoma"/>
          <w:sz w:val="23"/>
          <w:szCs w:val="23"/>
        </w:rPr>
        <w:t xml:space="preserve"> que suscribe discrepa respetuosamente de la decisión de la mayoría,   sustentando el presente Voto en Discordia en las consideraciones que a continuación se detallan:</w:t>
      </w:r>
    </w:p>
    <w:p w:rsidR="004077D4" w:rsidRPr="005B3394" w:rsidRDefault="004077D4" w:rsidP="004077D4">
      <w:pPr>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lang w:val="es-ES_tradnl"/>
        </w:rPr>
      </w:pPr>
      <w:r w:rsidRPr="005B3394">
        <w:rPr>
          <w:rFonts w:ascii="Tahoma" w:hAnsi="Tahoma" w:cs="Tahoma"/>
          <w:sz w:val="23"/>
          <w:szCs w:val="23"/>
          <w:lang w:val="es-ES_tradnl"/>
        </w:rPr>
        <w:t xml:space="preserve">En principio, se estima que en caso el administrado no hubiese estado de acuerdo con los criterios expuestos en la recurrida, debió adoptar las medidas legales pertinentes a fin de cuestionar dicha decisión vía recurso de reconsideración ante la misma instancia que emitió el acto.  Por tanto, al no haber ejercido su facultad de contradicción a través del mencionado recurso, se entiende que DITRANSERVA S.A.C. habría consentido dicho acto en sede administrativa; sin perjuicio de su impugnación en el proceso contencioso administrativo o de una eventual declaratoria de oficio por parte del propio Tribunal. </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numPr>
          <w:ilvl w:val="0"/>
          <w:numId w:val="17"/>
        </w:numPr>
        <w:jc w:val="both"/>
        <w:rPr>
          <w:rFonts w:ascii="Tahoma" w:hAnsi="Tahoma" w:cs="Tahoma"/>
          <w:sz w:val="23"/>
          <w:szCs w:val="23"/>
          <w:lang w:val="es-ES_tradnl"/>
        </w:rPr>
      </w:pPr>
      <w:r w:rsidRPr="005B3394">
        <w:rPr>
          <w:rFonts w:ascii="Tahoma" w:hAnsi="Tahoma" w:cs="Tahoma"/>
          <w:sz w:val="23"/>
          <w:szCs w:val="23"/>
          <w:lang w:val="es-ES_tradnl"/>
        </w:rPr>
        <w:t xml:space="preserve">No obstante lo anterior, se considera conveniente emitir pronunciamiento respecto a los cuestionamientos planteados por dicha empresa respecto a la motivación expuesta en </w:t>
      </w:r>
      <w:smartTag w:uri="urn:schemas-microsoft-com:office:smarttags" w:element="PersonName">
        <w:smartTagPr>
          <w:attr w:name="ProductID" w:val="la Resolución N"/>
        </w:smartTagPr>
        <w:r w:rsidRPr="005B3394">
          <w:rPr>
            <w:rFonts w:ascii="Tahoma" w:hAnsi="Tahoma" w:cs="Tahoma"/>
            <w:sz w:val="23"/>
            <w:szCs w:val="23"/>
            <w:lang w:val="es-ES_tradnl"/>
          </w:rPr>
          <w:t>la Resolución N</w:t>
        </w:r>
      </w:smartTag>
      <w:r w:rsidRPr="005B3394">
        <w:rPr>
          <w:rFonts w:ascii="Tahoma" w:hAnsi="Tahoma" w:cs="Tahoma"/>
          <w:sz w:val="23"/>
          <w:szCs w:val="23"/>
          <w:lang w:val="es-ES_tradnl"/>
        </w:rPr>
        <w:t xml:space="preserve">º 1796-2010-TC-S1, así como también en </w:t>
      </w:r>
      <w:smartTag w:uri="urn:schemas-microsoft-com:office:smarttags" w:element="PersonName">
        <w:smartTagPr>
          <w:attr w:name="ProductID" w:val="la Resolución N"/>
        </w:smartTagPr>
        <w:r w:rsidRPr="005B3394">
          <w:rPr>
            <w:rFonts w:ascii="Tahoma" w:hAnsi="Tahoma" w:cs="Tahoma"/>
            <w:sz w:val="23"/>
            <w:szCs w:val="23"/>
            <w:lang w:val="es-ES_tradnl"/>
          </w:rPr>
          <w:t>la Resolución N</w:t>
        </w:r>
      </w:smartTag>
      <w:r w:rsidRPr="005B3394">
        <w:rPr>
          <w:rFonts w:ascii="Tahoma" w:hAnsi="Tahoma" w:cs="Tahoma"/>
          <w:sz w:val="23"/>
          <w:szCs w:val="23"/>
          <w:lang w:val="es-ES_tradnl"/>
        </w:rPr>
        <w:t>º 1097-2011-TC-S1.</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numPr>
          <w:ilvl w:val="0"/>
          <w:numId w:val="17"/>
        </w:numPr>
        <w:jc w:val="both"/>
        <w:rPr>
          <w:rFonts w:ascii="Tahoma" w:hAnsi="Tahoma" w:cs="Tahoma"/>
          <w:sz w:val="23"/>
          <w:szCs w:val="23"/>
          <w:lang w:val="es-ES_tradnl"/>
        </w:rPr>
      </w:pPr>
      <w:r w:rsidRPr="005B3394">
        <w:rPr>
          <w:rFonts w:ascii="Tahoma" w:hAnsi="Tahoma" w:cs="Tahoma"/>
          <w:sz w:val="23"/>
          <w:szCs w:val="23"/>
        </w:rPr>
        <w:t xml:space="preserve">DITRANSERVA S.A.C. ha sostenido que el Tribunal no habría tenido en cuenta lo dispuesto en el artículo 20 de </w:t>
      </w:r>
      <w:smartTag w:uri="urn:schemas-microsoft-com:office:smarttags" w:element="PersonName">
        <w:smartTagPr>
          <w:attr w:name="ProductID" w:val="la Ley N"/>
        </w:smartTagPr>
        <w:r w:rsidRPr="005B3394">
          <w:rPr>
            <w:rFonts w:ascii="Tahoma" w:hAnsi="Tahoma" w:cs="Tahoma"/>
            <w:sz w:val="23"/>
            <w:szCs w:val="23"/>
          </w:rPr>
          <w:t>la Ley N</w:t>
        </w:r>
      </w:smartTag>
      <w:r w:rsidRPr="005B3394">
        <w:rPr>
          <w:rFonts w:ascii="Tahoma" w:hAnsi="Tahoma" w:cs="Tahoma"/>
          <w:sz w:val="23"/>
          <w:szCs w:val="23"/>
        </w:rPr>
        <w:t>º 27444, del Procedimiento Administrativo General</w:t>
      </w:r>
      <w:r w:rsidRPr="005B3394">
        <w:rPr>
          <w:rFonts w:ascii="Tahoma" w:hAnsi="Tahoma" w:cs="Tahoma"/>
          <w:sz w:val="23"/>
          <w:szCs w:val="23"/>
          <w:vertAlign w:val="superscript"/>
        </w:rPr>
        <w:footnoteReference w:id="6"/>
      </w:r>
      <w:r w:rsidRPr="005B3394">
        <w:rPr>
          <w:rFonts w:ascii="Tahoma" w:hAnsi="Tahoma" w:cs="Tahoma"/>
          <w:sz w:val="23"/>
          <w:szCs w:val="23"/>
        </w:rPr>
        <w:t>, al momento de realizar el análisis respecto de la validez de la notificación de la carta de citación para la firma del contrato puesto que, según afirma, la notificación vía facsímil sería válida siempre que éste medio hubiese sido solicitado expresamente por el administrado.</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numPr>
          <w:ilvl w:val="0"/>
          <w:numId w:val="17"/>
        </w:numPr>
        <w:jc w:val="both"/>
        <w:rPr>
          <w:rFonts w:ascii="Tahoma" w:hAnsi="Tahoma" w:cs="Tahoma"/>
          <w:sz w:val="23"/>
          <w:szCs w:val="23"/>
          <w:lang w:val="es-ES_tradnl"/>
        </w:rPr>
      </w:pPr>
      <w:r w:rsidRPr="005B3394">
        <w:rPr>
          <w:rFonts w:ascii="Tahoma" w:hAnsi="Tahoma" w:cs="Tahoma"/>
          <w:sz w:val="23"/>
          <w:szCs w:val="23"/>
        </w:rPr>
        <w:lastRenderedPageBreak/>
        <w:t xml:space="preserve">Al respecto, conviene tener en consideración que el aludido artículo 20 de la citada Ley, el cual regula las modalidades de notificación y resulta aplicable al caso materia de análisis de manera supletoria, ha dispuesto el orden de prelación que debe seguirse a efectos de notificar válidamente al administrado. </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ind w:left="720"/>
        <w:jc w:val="both"/>
        <w:rPr>
          <w:rFonts w:ascii="Tahoma" w:hAnsi="Tahoma" w:cs="Tahoma"/>
          <w:sz w:val="23"/>
          <w:szCs w:val="23"/>
        </w:rPr>
      </w:pPr>
      <w:r w:rsidRPr="005B3394">
        <w:rPr>
          <w:rFonts w:ascii="Tahoma" w:hAnsi="Tahoma" w:cs="Tahoma"/>
          <w:sz w:val="23"/>
          <w:szCs w:val="23"/>
        </w:rPr>
        <w:t>De esta manera, dicha norma prevé que la notificación se efectuará en primer lugar de manera personal en el domicilio del administrado, en segundo término mediante telegrama, correo certificado, telefax o cualquier otro medio que permita comprobar fehacientemente su acuse de recibo y quien lo recibe, siempre que el empleo de cualquiera de estos medios hubiese sido solicitado expresamente por el administrado.</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numPr>
          <w:ilvl w:val="0"/>
          <w:numId w:val="17"/>
        </w:numPr>
        <w:jc w:val="both"/>
        <w:rPr>
          <w:rFonts w:ascii="Tahoma" w:hAnsi="Tahoma" w:cs="Tahoma"/>
          <w:sz w:val="23"/>
          <w:szCs w:val="23"/>
          <w:lang w:val="es-ES_tradnl"/>
        </w:rPr>
      </w:pPr>
      <w:r w:rsidRPr="005B3394">
        <w:rPr>
          <w:rFonts w:ascii="Tahoma" w:hAnsi="Tahoma" w:cs="Tahoma"/>
          <w:sz w:val="23"/>
          <w:szCs w:val="23"/>
        </w:rPr>
        <w:t xml:space="preserve">No obstante lo expuesto, cabe advertir que aún cuando </w:t>
      </w:r>
      <w:smartTag w:uri="urn:schemas-microsoft-com:office:smarttags" w:element="PersonName">
        <w:smartTagPr>
          <w:attr w:name="ProductID" w:val="la Entidad"/>
        </w:smartTagPr>
        <w:r w:rsidRPr="005B3394">
          <w:rPr>
            <w:rFonts w:ascii="Tahoma" w:hAnsi="Tahoma" w:cs="Tahoma"/>
            <w:sz w:val="23"/>
            <w:szCs w:val="23"/>
          </w:rPr>
          <w:t>la Entidad</w:t>
        </w:r>
      </w:smartTag>
      <w:r w:rsidRPr="005B3394">
        <w:rPr>
          <w:rFonts w:ascii="Tahoma" w:hAnsi="Tahoma" w:cs="Tahoma"/>
          <w:sz w:val="23"/>
          <w:szCs w:val="23"/>
        </w:rPr>
        <w:t xml:space="preserve"> citó a DITRANSERVA S.A.C. vía facsímil y no mediante notificación personal a su domicilio, inobservando por ende las formalidades establecidas en el citado artículo 20 de </w:t>
      </w:r>
      <w:smartTag w:uri="urn:schemas-microsoft-com:office:smarttags" w:element="PersonName">
        <w:smartTagPr>
          <w:attr w:name="ProductID" w:val="la Ley N"/>
        </w:smartTagPr>
        <w:r w:rsidRPr="005B3394">
          <w:rPr>
            <w:rFonts w:ascii="Tahoma" w:hAnsi="Tahoma" w:cs="Tahoma"/>
            <w:sz w:val="23"/>
            <w:szCs w:val="23"/>
          </w:rPr>
          <w:t>la Ley N</w:t>
        </w:r>
      </w:smartTag>
      <w:r w:rsidRPr="005B3394">
        <w:rPr>
          <w:rFonts w:ascii="Tahoma" w:hAnsi="Tahoma" w:cs="Tahoma"/>
          <w:sz w:val="23"/>
          <w:szCs w:val="23"/>
        </w:rPr>
        <w:t xml:space="preserve">º 27444, dicho vicio </w:t>
      </w:r>
      <w:r w:rsidRPr="005B3394">
        <w:rPr>
          <w:rFonts w:ascii="Tahoma" w:hAnsi="Tahoma" w:cs="Tahoma"/>
          <w:sz w:val="23"/>
          <w:szCs w:val="23"/>
        </w:rPr>
        <w:sym w:font="Symbol" w:char="F02D"/>
      </w:r>
      <w:r w:rsidRPr="005B3394">
        <w:rPr>
          <w:rFonts w:ascii="Tahoma" w:hAnsi="Tahoma" w:cs="Tahoma"/>
          <w:sz w:val="23"/>
          <w:szCs w:val="23"/>
        </w:rPr>
        <w:t>que acarrearía en principio su nulidad</w:t>
      </w:r>
      <w:r w:rsidRPr="005B3394">
        <w:rPr>
          <w:rFonts w:ascii="Tahoma" w:hAnsi="Tahoma" w:cs="Tahoma"/>
          <w:sz w:val="23"/>
          <w:szCs w:val="23"/>
        </w:rPr>
        <w:sym w:font="Symbol" w:char="F02D"/>
      </w:r>
      <w:r w:rsidRPr="005B3394">
        <w:rPr>
          <w:rFonts w:ascii="Tahoma" w:hAnsi="Tahoma" w:cs="Tahoma"/>
          <w:sz w:val="23"/>
          <w:szCs w:val="23"/>
        </w:rPr>
        <w:t xml:space="preserve"> quedó subsanado al haberse advertido que el Postor tomó efectivo conocimiento de </w:t>
      </w:r>
      <w:smartTag w:uri="urn:schemas-microsoft-com:office:smarttags" w:element="PersonName">
        <w:smartTagPr>
          <w:attr w:name="ProductID" w:val="la Carta N"/>
        </w:smartTagPr>
        <w:r w:rsidRPr="005B3394">
          <w:rPr>
            <w:rFonts w:ascii="Tahoma" w:hAnsi="Tahoma" w:cs="Tahoma"/>
            <w:sz w:val="23"/>
            <w:szCs w:val="23"/>
          </w:rPr>
          <w:t>la Carta N</w:t>
        </w:r>
      </w:smartTag>
      <w:r w:rsidRPr="005B3394">
        <w:rPr>
          <w:rFonts w:ascii="Tahoma" w:hAnsi="Tahoma" w:cs="Tahoma"/>
          <w:sz w:val="23"/>
          <w:szCs w:val="23"/>
        </w:rPr>
        <w:t xml:space="preserve">º 357-2007-GL/MM de fecha 24 de agosto de 2007, según lo indicado en su escrito de descargos presentado el 04 de febrero de 2008, lo cual tampoco ha sido negado con posterioridad, de conformidad con lo dispuesto en el artículo 27 de </w:t>
      </w:r>
      <w:smartTag w:uri="urn:schemas-microsoft-com:office:smarttags" w:element="PersonName">
        <w:smartTagPr>
          <w:attr w:name="ProductID" w:val="la Ley N"/>
        </w:smartTagPr>
        <w:r w:rsidRPr="005B3394">
          <w:rPr>
            <w:rFonts w:ascii="Tahoma" w:hAnsi="Tahoma" w:cs="Tahoma"/>
            <w:sz w:val="23"/>
            <w:szCs w:val="23"/>
          </w:rPr>
          <w:t>la Ley N</w:t>
        </w:r>
      </w:smartTag>
      <w:r w:rsidRPr="005B3394">
        <w:rPr>
          <w:rFonts w:ascii="Tahoma" w:hAnsi="Tahoma" w:cs="Tahoma"/>
          <w:sz w:val="23"/>
          <w:szCs w:val="23"/>
        </w:rPr>
        <w:t>º 27444.</w:t>
      </w:r>
    </w:p>
    <w:p w:rsidR="004077D4" w:rsidRPr="005B3394" w:rsidRDefault="004077D4" w:rsidP="004077D4">
      <w:pPr>
        <w:ind w:left="720"/>
        <w:jc w:val="both"/>
        <w:rPr>
          <w:rFonts w:ascii="Tahoma" w:hAnsi="Tahoma" w:cs="Tahoma"/>
          <w:sz w:val="23"/>
          <w:szCs w:val="23"/>
          <w:lang w:val="es-ES_tradnl"/>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 xml:space="preserve">Es importante tener presente que en virtud a los Principios de Celeridad y Eficacia, y de acuerdo con el artículo 27 de </w:t>
      </w:r>
      <w:smartTag w:uri="urn:schemas-microsoft-com:office:smarttags" w:element="PersonName">
        <w:smartTagPr>
          <w:attr w:name="ProductID" w:val="la Ley N"/>
        </w:smartTagPr>
        <w:r w:rsidRPr="005B3394">
          <w:rPr>
            <w:rFonts w:ascii="Tahoma" w:hAnsi="Tahoma" w:cs="Tahoma"/>
            <w:sz w:val="23"/>
            <w:szCs w:val="23"/>
          </w:rPr>
          <w:t>la Ley N</w:t>
        </w:r>
      </w:smartTag>
      <w:r w:rsidRPr="005B3394">
        <w:rPr>
          <w:rFonts w:ascii="Tahoma" w:hAnsi="Tahoma" w:cs="Tahoma"/>
          <w:sz w:val="23"/>
          <w:szCs w:val="23"/>
        </w:rPr>
        <w:t>º 27444</w:t>
      </w:r>
      <w:r w:rsidRPr="005B3394">
        <w:rPr>
          <w:rFonts w:ascii="Tahoma" w:hAnsi="Tahoma" w:cs="Tahoma"/>
          <w:sz w:val="23"/>
          <w:szCs w:val="23"/>
          <w:vertAlign w:val="superscript"/>
        </w:rPr>
        <w:footnoteReference w:id="7"/>
      </w:r>
      <w:r w:rsidRPr="005B3394">
        <w:rPr>
          <w:rFonts w:ascii="Tahoma" w:hAnsi="Tahoma" w:cs="Tahoma"/>
          <w:sz w:val="23"/>
          <w:szCs w:val="23"/>
        </w:rPr>
        <w:t>, es posible que se puedan entender saneadas notificaciones que infrinjan los requisitos de validez de la misma, cuando por la conducta de los administrados se acredite fehacientemente que a pesar de los defectos advertidos, no se le haya causado un perjuicio o detrimento en el ejercicio de sus derechos.</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 xml:space="preserve">Sobre el particular, y adscribiéndose a esta línea de pensamiento, Morón Urbina ha indicado que </w:t>
      </w:r>
      <w:r w:rsidRPr="005B3394">
        <w:rPr>
          <w:rFonts w:ascii="Tahoma" w:hAnsi="Tahoma" w:cs="Tahoma"/>
          <w:i/>
          <w:sz w:val="23"/>
          <w:szCs w:val="23"/>
        </w:rPr>
        <w:t xml:space="preserve">“Para efectos de determinar la sanción aplicable a la notificación realizada con esta deficiencia es justo ponderar algunos factores como: la diligencia que el interesado haya observado para comparecer al proceso o informar sobre su domicilio a la autoridad, el conocimiento extraprocesal que haya podido tener acerca de lo actuado (…)” </w:t>
      </w:r>
      <w:r w:rsidRPr="005B3394">
        <w:rPr>
          <w:rFonts w:ascii="Tahoma" w:hAnsi="Tahoma" w:cs="Tahoma"/>
          <w:sz w:val="23"/>
          <w:szCs w:val="23"/>
        </w:rPr>
        <w:t xml:space="preserve">Y es que a su criterio, </w:t>
      </w:r>
      <w:r w:rsidRPr="005B3394">
        <w:rPr>
          <w:rFonts w:ascii="Tahoma" w:hAnsi="Tahoma" w:cs="Tahoma"/>
          <w:i/>
          <w:sz w:val="23"/>
          <w:szCs w:val="23"/>
        </w:rPr>
        <w:t xml:space="preserve">“(…) Mantener de modo absoluto la sanción de nulidad para </w:t>
      </w:r>
      <w:r w:rsidRPr="005B3394">
        <w:rPr>
          <w:rFonts w:ascii="Tahoma" w:hAnsi="Tahoma" w:cs="Tahoma"/>
          <w:i/>
          <w:sz w:val="23"/>
          <w:szCs w:val="23"/>
        </w:rPr>
        <w:lastRenderedPageBreak/>
        <w:t>aquellas notificaciones ciertamente viciadas de modo formal, resulta afectivo a los principios de celeridad y eficacia administrativa en los casos que se evidencie claramente que el interesado no ha sido conducido al estado de indefensión (…)</w:t>
      </w:r>
      <w:r w:rsidRPr="005B3394">
        <w:rPr>
          <w:rFonts w:ascii="Tahoma" w:hAnsi="Tahoma" w:cs="Tahoma"/>
          <w:sz w:val="23"/>
          <w:szCs w:val="23"/>
          <w:vertAlign w:val="superscript"/>
        </w:rPr>
        <w:footnoteReference w:id="8"/>
      </w:r>
      <w:r w:rsidRPr="005B3394">
        <w:rPr>
          <w:rFonts w:ascii="Tahoma" w:hAnsi="Tahoma" w:cs="Tahoma"/>
          <w:sz w:val="23"/>
          <w:szCs w:val="23"/>
        </w:rPr>
        <w:t xml:space="preserve">. </w:t>
      </w:r>
    </w:p>
    <w:p w:rsidR="004077D4" w:rsidRPr="005B3394" w:rsidRDefault="004077D4" w:rsidP="004077D4">
      <w:pPr>
        <w:ind w:left="720"/>
        <w:jc w:val="both"/>
        <w:rPr>
          <w:rFonts w:ascii="Tahoma" w:hAnsi="Tahoma" w:cs="Tahoma"/>
          <w:sz w:val="23"/>
          <w:szCs w:val="23"/>
        </w:rPr>
      </w:pPr>
    </w:p>
    <w:p w:rsidR="004077D4" w:rsidRPr="005B3394" w:rsidRDefault="004077D4" w:rsidP="004077D4">
      <w:pPr>
        <w:ind w:left="720"/>
        <w:jc w:val="both"/>
        <w:rPr>
          <w:rFonts w:ascii="Tahoma" w:hAnsi="Tahoma" w:cs="Tahoma"/>
          <w:sz w:val="23"/>
          <w:szCs w:val="23"/>
        </w:rPr>
      </w:pPr>
      <w:r w:rsidRPr="005B3394">
        <w:rPr>
          <w:rFonts w:ascii="Tahoma" w:hAnsi="Tahoma" w:cs="Tahoma"/>
          <w:sz w:val="23"/>
          <w:szCs w:val="23"/>
        </w:rPr>
        <w:t xml:space="preserve">Asimismo, Roberto Dromi indica que: </w:t>
      </w:r>
      <w:r w:rsidRPr="005B3394">
        <w:rPr>
          <w:rFonts w:ascii="Tahoma" w:hAnsi="Tahoma" w:cs="Tahoma"/>
          <w:i/>
          <w:sz w:val="23"/>
          <w:szCs w:val="23"/>
        </w:rPr>
        <w:t xml:space="preserve">“si de una presentación espontánea del interesado o su representante surge clara e indubitable que está en conocimiento fehaciente de un acto, se tendrá ese acto por notificado” y que “la notificación surtirá efectos desde la fecha de la presentación.” </w:t>
      </w:r>
    </w:p>
    <w:p w:rsidR="004077D4" w:rsidRPr="005B3394" w:rsidRDefault="004077D4" w:rsidP="004077D4">
      <w:pPr>
        <w:ind w:left="720"/>
        <w:jc w:val="both"/>
        <w:rPr>
          <w:rFonts w:ascii="Tahoma" w:hAnsi="Tahoma" w:cs="Tahoma"/>
          <w:sz w:val="23"/>
          <w:szCs w:val="23"/>
        </w:rPr>
      </w:pPr>
    </w:p>
    <w:p w:rsidR="004077D4" w:rsidRPr="005B3394" w:rsidRDefault="004077D4" w:rsidP="004077D4">
      <w:pPr>
        <w:ind w:left="720"/>
        <w:jc w:val="both"/>
        <w:rPr>
          <w:rFonts w:ascii="Tahoma" w:hAnsi="Tahoma" w:cs="Tahoma"/>
          <w:sz w:val="23"/>
          <w:szCs w:val="23"/>
        </w:rPr>
      </w:pPr>
      <w:r w:rsidRPr="005B3394">
        <w:rPr>
          <w:rFonts w:ascii="Tahoma" w:hAnsi="Tahoma" w:cs="Tahoma"/>
          <w:sz w:val="23"/>
          <w:szCs w:val="23"/>
        </w:rPr>
        <w:t>De ahí que, pese a que la notificación de la carta de citación para la firma del contrato se encontraba viciada, ésta adquirió la eficacia esperada, tal como se ha constatado de las declaraciones vertidas durante el presente procedimiento administrativo sancionador.</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En tal sentido, debe tenerse en cuenta que ya en anteriores oportunidades este Tribunal ha señalado que debe entenderse que la conducta del administrado (proveedor, participante, postor o contratista) que suponga actuaciones derivadas de la notificación realizada (como efectivamente ocurrió en el caso materia de análisis), validará la notificación defectuosa</w:t>
      </w:r>
      <w:r w:rsidRPr="005B3394">
        <w:rPr>
          <w:rFonts w:ascii="Tahoma" w:hAnsi="Tahoma" w:cs="Tahoma"/>
          <w:sz w:val="23"/>
          <w:szCs w:val="23"/>
          <w:vertAlign w:val="superscript"/>
        </w:rPr>
        <w:footnoteReference w:id="9"/>
      </w:r>
      <w:r w:rsidRPr="005B3394">
        <w:rPr>
          <w:rFonts w:ascii="Tahoma" w:hAnsi="Tahoma" w:cs="Tahoma"/>
          <w:sz w:val="23"/>
          <w:szCs w:val="23"/>
        </w:rPr>
        <w:t>.</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 xml:space="preserve">En ese orden de ideas, corresponde dar por saneada la notificación de </w:t>
      </w:r>
      <w:smartTag w:uri="urn:schemas-microsoft-com:office:smarttags" w:element="PersonName">
        <w:smartTagPr>
          <w:attr w:name="ProductID" w:val="la Carta N"/>
        </w:smartTagPr>
        <w:r w:rsidRPr="005B3394">
          <w:rPr>
            <w:rFonts w:ascii="Tahoma" w:hAnsi="Tahoma" w:cs="Tahoma"/>
            <w:sz w:val="23"/>
            <w:szCs w:val="23"/>
          </w:rPr>
          <w:t>la Carta N</w:t>
        </w:r>
      </w:smartTag>
      <w:r w:rsidRPr="005B3394">
        <w:rPr>
          <w:rFonts w:ascii="Tahoma" w:hAnsi="Tahoma" w:cs="Tahoma"/>
          <w:sz w:val="23"/>
          <w:szCs w:val="23"/>
        </w:rPr>
        <w:t>º 357-2007-GL/MM, cuya efectiva notificación tuvo lugar el 27 de agosto de 2007, toda vez que DITRANSERVA S.A.C. reconoció haber sido debidamente notificado para la firma del contrato.</w:t>
      </w:r>
      <w:r w:rsidRPr="005B3394">
        <w:rPr>
          <w:rFonts w:ascii="Tahoma" w:hAnsi="Tahoma" w:cs="Tahoma"/>
          <w:i/>
          <w:sz w:val="23"/>
          <w:szCs w:val="23"/>
        </w:rPr>
        <w:t xml:space="preserve"> </w:t>
      </w:r>
      <w:r w:rsidRPr="005B3394">
        <w:rPr>
          <w:rFonts w:ascii="Tahoma" w:hAnsi="Tahoma" w:cs="Tahoma"/>
          <w:sz w:val="23"/>
          <w:szCs w:val="23"/>
        </w:rPr>
        <w:t xml:space="preserve">Aunado a lo cual, es posible constatar que obra en autos </w:t>
      </w:r>
      <w:smartTag w:uri="urn:schemas-microsoft-com:office:smarttags" w:element="PersonName">
        <w:smartTagPr>
          <w:attr w:name="ProductID" w:val="la Carta N"/>
        </w:smartTagPr>
        <w:r w:rsidRPr="005B3394">
          <w:rPr>
            <w:rFonts w:ascii="Tahoma" w:hAnsi="Tahoma" w:cs="Tahoma"/>
            <w:sz w:val="23"/>
            <w:szCs w:val="23"/>
          </w:rPr>
          <w:t>la Carta N</w:t>
        </w:r>
      </w:smartTag>
      <w:r w:rsidRPr="005B3394">
        <w:rPr>
          <w:rFonts w:ascii="Tahoma" w:hAnsi="Tahoma" w:cs="Tahoma"/>
          <w:sz w:val="23"/>
          <w:szCs w:val="23"/>
        </w:rPr>
        <w:t xml:space="preserve">º 0110-2007-G.G de fecha 14 de setiembre de 2007, remitida vía fax en la misma fecha por DITRANSERVA S.A.C. a </w:t>
      </w:r>
      <w:smartTag w:uri="urn:schemas-microsoft-com:office:smarttags" w:element="PersonName">
        <w:smartTagPr>
          <w:attr w:name="ProductID" w:val="la Entidad"/>
        </w:smartTagPr>
        <w:r w:rsidRPr="005B3394">
          <w:rPr>
            <w:rFonts w:ascii="Tahoma" w:hAnsi="Tahoma" w:cs="Tahoma"/>
            <w:sz w:val="23"/>
            <w:szCs w:val="23"/>
          </w:rPr>
          <w:t>la Entidad</w:t>
        </w:r>
      </w:smartTag>
      <w:r w:rsidRPr="005B3394">
        <w:rPr>
          <w:rFonts w:ascii="Tahoma" w:hAnsi="Tahoma" w:cs="Tahoma"/>
          <w:sz w:val="23"/>
          <w:szCs w:val="23"/>
        </w:rPr>
        <w:t xml:space="preserve"> (con posterioridad a la recepción de </w:t>
      </w:r>
      <w:smartTag w:uri="urn:schemas-microsoft-com:office:smarttags" w:element="PersonName">
        <w:smartTagPr>
          <w:attr w:name="ProductID" w:val="la Carta N"/>
        </w:smartTagPr>
        <w:r w:rsidRPr="005B3394">
          <w:rPr>
            <w:rFonts w:ascii="Tahoma" w:hAnsi="Tahoma" w:cs="Tahoma"/>
            <w:sz w:val="23"/>
            <w:szCs w:val="23"/>
          </w:rPr>
          <w:t>la Carta N</w:t>
        </w:r>
      </w:smartTag>
      <w:r w:rsidRPr="005B3394">
        <w:rPr>
          <w:rFonts w:ascii="Tahoma" w:hAnsi="Tahoma" w:cs="Tahoma"/>
          <w:sz w:val="23"/>
          <w:szCs w:val="23"/>
        </w:rPr>
        <w:t xml:space="preserve">º 357-2007-GL/MM), en la que el Postor comunicó a </w:t>
      </w:r>
      <w:smartTag w:uri="urn:schemas-microsoft-com:office:smarttags" w:element="PersonName">
        <w:smartTagPr>
          <w:attr w:name="ProductID" w:val="la Entidad"/>
        </w:smartTagPr>
        <w:r w:rsidRPr="005B3394">
          <w:rPr>
            <w:rFonts w:ascii="Tahoma" w:hAnsi="Tahoma" w:cs="Tahoma"/>
            <w:sz w:val="23"/>
            <w:szCs w:val="23"/>
          </w:rPr>
          <w:t>la Entidad</w:t>
        </w:r>
      </w:smartTag>
      <w:r w:rsidRPr="005B3394">
        <w:rPr>
          <w:rFonts w:ascii="Tahoma" w:hAnsi="Tahoma" w:cs="Tahoma"/>
          <w:sz w:val="23"/>
          <w:szCs w:val="23"/>
        </w:rPr>
        <w:t xml:space="preserve"> su imposibilidad de suscribir el contrato, por incremento del 25% del precio del cemento asfáltico, por lo que se observa que tanto </w:t>
      </w:r>
      <w:smartTag w:uri="urn:schemas-microsoft-com:office:smarttags" w:element="PersonName">
        <w:smartTagPr>
          <w:attr w:name="ProductID" w:val="la Entidad"/>
        </w:smartTagPr>
        <w:r w:rsidRPr="005B3394">
          <w:rPr>
            <w:rFonts w:ascii="Tahoma" w:hAnsi="Tahoma" w:cs="Tahoma"/>
            <w:sz w:val="23"/>
            <w:szCs w:val="23"/>
          </w:rPr>
          <w:t>la Entidad</w:t>
        </w:r>
      </w:smartTag>
      <w:r w:rsidRPr="005B3394">
        <w:rPr>
          <w:rFonts w:ascii="Tahoma" w:hAnsi="Tahoma" w:cs="Tahoma"/>
          <w:sz w:val="23"/>
          <w:szCs w:val="23"/>
        </w:rPr>
        <w:t xml:space="preserve"> como el Contratista aceptaron esta manera de notificación.</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lang w:val="es-MX"/>
        </w:rPr>
        <w:t xml:space="preserve">Como argumento adicional, debe indicarse que no sólo el Derecho Administrativo ha previsto la posibilidad de realizar un saneamiento a las notificaciones realizadas de manera defectuosa, en salvaguarda de la celeridad y eficacia de los procedimiento administrativos, sino que en el ámbito procesal, el legislador ha normado la oportunidad de convalidar las </w:t>
      </w:r>
      <w:r w:rsidRPr="005B3394">
        <w:rPr>
          <w:rFonts w:ascii="Tahoma" w:hAnsi="Tahoma" w:cs="Tahoma"/>
          <w:sz w:val="23"/>
          <w:szCs w:val="23"/>
          <w:lang w:val="es-MX"/>
        </w:rPr>
        <w:lastRenderedPageBreak/>
        <w:t>eventuales nulidades surgidas en los actos procesales, señalando expresamente que “</w:t>
      </w:r>
      <w:r w:rsidRPr="005B3394">
        <w:rPr>
          <w:rFonts w:ascii="Tahoma" w:hAnsi="Tahoma" w:cs="Tahoma"/>
          <w:i/>
          <w:sz w:val="23"/>
          <w:szCs w:val="23"/>
          <w:lang w:val="es-MX"/>
        </w:rPr>
        <w:t>tratándose de vicios en la notificación, la nulidad se convalida si el litigante procede de manera que ponga de manifiesto haber tomado conocimiento oportuno del contenido de la resolución. Hay también convalidación cuando el acto procesal, no obstante carecer de algún requisito formal, logra la finalidad para la cual estaba destinado (…)”</w:t>
      </w:r>
      <w:r w:rsidRPr="005B3394">
        <w:rPr>
          <w:rFonts w:ascii="Tahoma" w:hAnsi="Tahoma" w:cs="Tahoma"/>
          <w:i/>
          <w:sz w:val="23"/>
          <w:szCs w:val="23"/>
          <w:vertAlign w:val="superscript"/>
          <w:lang w:val="es-MX"/>
        </w:rPr>
        <w:footnoteReference w:id="10"/>
      </w:r>
      <w:r w:rsidRPr="005B3394">
        <w:rPr>
          <w:rFonts w:ascii="Tahoma" w:hAnsi="Tahoma" w:cs="Tahoma"/>
          <w:i/>
          <w:sz w:val="23"/>
          <w:szCs w:val="23"/>
          <w:lang w:val="es-MX"/>
        </w:rPr>
        <w:t>.</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lang w:val="es-MX"/>
        </w:rPr>
        <w:t xml:space="preserve">Es decir, la voluntad legislativa es que la nulidad del acto procesal que ocasione un menoscabo en la esfera jurídica del litigante, imposibilitándolo de realizar una defensa oportuna, sea acreditado fehacientemente, interpretándose las nulidades procesales de manera restrictiva, puesto que su declaración debe considerarse un </w:t>
      </w:r>
      <w:r w:rsidRPr="005B3394">
        <w:rPr>
          <w:rFonts w:ascii="Tahoma" w:hAnsi="Tahoma" w:cs="Tahoma"/>
          <w:i/>
          <w:sz w:val="23"/>
          <w:szCs w:val="23"/>
          <w:u w:val="single"/>
          <w:lang w:val="es-MX"/>
        </w:rPr>
        <w:t>remedio excepcional de última ratio</w:t>
      </w:r>
      <w:r w:rsidRPr="005B3394">
        <w:rPr>
          <w:rFonts w:ascii="Tahoma" w:hAnsi="Tahoma" w:cs="Tahoma"/>
          <w:i/>
          <w:sz w:val="23"/>
          <w:szCs w:val="23"/>
          <w:u w:val="single"/>
          <w:vertAlign w:val="superscript"/>
          <w:lang w:val="es-MX"/>
        </w:rPr>
        <w:footnoteReference w:id="11"/>
      </w:r>
      <w:r w:rsidRPr="005B3394">
        <w:rPr>
          <w:rFonts w:ascii="Tahoma" w:hAnsi="Tahoma" w:cs="Tahoma"/>
          <w:sz w:val="23"/>
          <w:szCs w:val="23"/>
          <w:lang w:val="es-MX"/>
        </w:rPr>
        <w:t>, considerando que su finalidad es la primacía del principio de conservación de los actos procesales, en el sentido que es conveniente preservar el acto frente a la anulación, no siendo el objeto de declaración de nulidad el asegurar las formas procesales, sino el cumplimiento de la finalidad para la cual se emitió el acto.</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 xml:space="preserve">Casos distintos son los evaluados en </w:t>
      </w:r>
      <w:smartTag w:uri="urn:schemas-microsoft-com:office:smarttags" w:element="PersonName">
        <w:smartTagPr>
          <w:attr w:name="ProductID" w:val="la Resolución N"/>
        </w:smartTagPr>
        <w:r w:rsidRPr="005B3394">
          <w:rPr>
            <w:rFonts w:ascii="Tahoma" w:hAnsi="Tahoma" w:cs="Tahoma"/>
            <w:sz w:val="23"/>
            <w:szCs w:val="23"/>
          </w:rPr>
          <w:t>la Resolución N</w:t>
        </w:r>
      </w:smartTag>
      <w:r w:rsidRPr="005B3394">
        <w:rPr>
          <w:rFonts w:ascii="Tahoma" w:hAnsi="Tahoma" w:cs="Tahoma"/>
          <w:sz w:val="23"/>
          <w:szCs w:val="23"/>
        </w:rPr>
        <w:t xml:space="preserve">º 437-2010-TC-S1, confirmada por Resolución Nº 640-2010-TC-S1, en la que se concluyó que prevalecía la notificación personal, en tanto el postor cuestionó dicho acto la notificación por fax en sus descargos; y de </w:t>
      </w:r>
      <w:smartTag w:uri="urn:schemas-microsoft-com:office:smarttags" w:element="PersonName">
        <w:smartTagPr>
          <w:attr w:name="ProductID" w:val="la Resolución N"/>
        </w:smartTagPr>
        <w:r w:rsidRPr="005B3394">
          <w:rPr>
            <w:rFonts w:ascii="Tahoma" w:hAnsi="Tahoma" w:cs="Tahoma"/>
            <w:sz w:val="23"/>
            <w:szCs w:val="23"/>
          </w:rPr>
          <w:t>la Resolución N</w:t>
        </w:r>
      </w:smartTag>
      <w:r w:rsidRPr="005B3394">
        <w:rPr>
          <w:rFonts w:ascii="Tahoma" w:hAnsi="Tahoma" w:cs="Tahoma"/>
          <w:sz w:val="23"/>
          <w:szCs w:val="23"/>
        </w:rPr>
        <w:t>º 2099-2010-TC-S4, en el que el postor no se apersonó a la instancia ni formuló sus descargos.</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7"/>
        </w:numPr>
        <w:jc w:val="both"/>
        <w:rPr>
          <w:rFonts w:ascii="Tahoma" w:hAnsi="Tahoma" w:cs="Tahoma"/>
          <w:sz w:val="23"/>
          <w:szCs w:val="23"/>
        </w:rPr>
      </w:pPr>
      <w:r w:rsidRPr="005B3394">
        <w:rPr>
          <w:rFonts w:ascii="Tahoma" w:hAnsi="Tahoma" w:cs="Tahoma"/>
          <w:sz w:val="23"/>
          <w:szCs w:val="23"/>
        </w:rPr>
        <w:t xml:space="preserve">Por lo tanto, a criterio de </w:t>
      </w:r>
      <w:smartTag w:uri="urn:schemas-microsoft-com:office:smarttags" w:element="PersonName">
        <w:smartTagPr>
          <w:attr w:name="ProductID" w:val="La Vocal"/>
        </w:smartTagPr>
        <w:r w:rsidRPr="005B3394">
          <w:rPr>
            <w:rFonts w:ascii="Tahoma" w:hAnsi="Tahoma" w:cs="Tahoma"/>
            <w:sz w:val="23"/>
            <w:szCs w:val="23"/>
          </w:rPr>
          <w:t>la Vocal</w:t>
        </w:r>
      </w:smartTag>
      <w:r w:rsidRPr="005B3394">
        <w:rPr>
          <w:rFonts w:ascii="Tahoma" w:hAnsi="Tahoma" w:cs="Tahoma"/>
          <w:sz w:val="23"/>
          <w:szCs w:val="23"/>
        </w:rPr>
        <w:t xml:space="preserve"> suscrita, no cabe acoger el recurso de reconsideración del Postor, al considerarse que mediante la recurrida se adoptó la mejor decisión al caso particular, aplicándose la regla jurídica que se estimó idónea, motivando </w:t>
      </w:r>
      <w:r w:rsidRPr="005B3394">
        <w:rPr>
          <w:rFonts w:ascii="Tahoma" w:hAnsi="Tahoma" w:cs="Tahoma"/>
          <w:i/>
          <w:sz w:val="23"/>
          <w:szCs w:val="23"/>
        </w:rPr>
        <w:t>in extenso</w:t>
      </w:r>
      <w:r w:rsidRPr="005B3394">
        <w:rPr>
          <w:rFonts w:ascii="Tahoma" w:hAnsi="Tahoma" w:cs="Tahoma"/>
          <w:sz w:val="23"/>
          <w:szCs w:val="23"/>
        </w:rPr>
        <w:t xml:space="preserve"> dicho criterio.</w:t>
      </w: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r w:rsidRPr="005B3394">
        <w:rPr>
          <w:rFonts w:ascii="Tahoma" w:hAnsi="Tahoma" w:cs="Tahoma"/>
          <w:sz w:val="23"/>
          <w:szCs w:val="23"/>
        </w:rPr>
        <w:t xml:space="preserve">Atendiendo a lo expuesto, </w:t>
      </w:r>
      <w:smartTag w:uri="urn:schemas-microsoft-com:office:smarttags" w:element="PersonName">
        <w:smartTagPr>
          <w:attr w:name="ProductID" w:val="La Vocal"/>
        </w:smartTagPr>
        <w:r w:rsidRPr="005B3394">
          <w:rPr>
            <w:rFonts w:ascii="Tahoma" w:hAnsi="Tahoma" w:cs="Tahoma"/>
            <w:sz w:val="23"/>
            <w:szCs w:val="23"/>
          </w:rPr>
          <w:t>la Vocal</w:t>
        </w:r>
      </w:smartTag>
      <w:r w:rsidRPr="005B3394">
        <w:rPr>
          <w:rFonts w:ascii="Tahoma" w:hAnsi="Tahoma" w:cs="Tahoma"/>
          <w:sz w:val="23"/>
          <w:szCs w:val="23"/>
        </w:rPr>
        <w:t xml:space="preserve"> que suscribe es de la siguiente opinión: </w:t>
      </w:r>
    </w:p>
    <w:p w:rsidR="004077D4" w:rsidRPr="005B3394" w:rsidRDefault="004077D4" w:rsidP="004077D4">
      <w:pPr>
        <w:rPr>
          <w:rFonts w:ascii="Tahoma" w:hAnsi="Tahoma" w:cs="Tahoma"/>
          <w:b/>
          <w:bCs/>
          <w:sz w:val="23"/>
          <w:szCs w:val="23"/>
        </w:rPr>
      </w:pPr>
    </w:p>
    <w:p w:rsidR="004077D4" w:rsidRPr="005B3394" w:rsidRDefault="004077D4" w:rsidP="004077D4">
      <w:pPr>
        <w:numPr>
          <w:ilvl w:val="0"/>
          <w:numId w:val="18"/>
        </w:numPr>
        <w:jc w:val="both"/>
        <w:rPr>
          <w:rFonts w:ascii="Tahoma" w:hAnsi="Tahoma" w:cs="Tahoma"/>
          <w:sz w:val="23"/>
          <w:szCs w:val="23"/>
        </w:rPr>
      </w:pPr>
      <w:r w:rsidRPr="005B3394">
        <w:rPr>
          <w:rFonts w:ascii="Tahoma" w:hAnsi="Tahoma" w:cs="Tahoma"/>
          <w:sz w:val="23"/>
          <w:szCs w:val="23"/>
        </w:rPr>
        <w:t xml:space="preserve">Declarar infundado el recurso de reconsideración interpuesto por la empresa DITRANSERVA S.A.C. contra </w:t>
      </w:r>
      <w:smartTag w:uri="urn:schemas-microsoft-com:office:smarttags" w:element="PersonName">
        <w:smartTagPr>
          <w:attr w:name="ProductID" w:val="la Resolución N"/>
        </w:smartTagPr>
        <w:r w:rsidRPr="005B3394">
          <w:rPr>
            <w:rFonts w:ascii="Tahoma" w:hAnsi="Tahoma" w:cs="Tahoma"/>
            <w:sz w:val="23"/>
            <w:szCs w:val="23"/>
          </w:rPr>
          <w:t>la Resolución N</w:t>
        </w:r>
      </w:smartTag>
      <w:r w:rsidRPr="005B3394">
        <w:rPr>
          <w:rFonts w:ascii="Tahoma" w:hAnsi="Tahoma" w:cs="Tahoma"/>
          <w:sz w:val="23"/>
          <w:szCs w:val="23"/>
        </w:rPr>
        <w:t>º 1796-2010-TC-S1, por los fundamentos expuestos.</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8"/>
        </w:numPr>
        <w:jc w:val="both"/>
        <w:rPr>
          <w:rFonts w:ascii="Tahoma" w:hAnsi="Tahoma" w:cs="Tahoma"/>
          <w:sz w:val="23"/>
          <w:szCs w:val="23"/>
        </w:rPr>
      </w:pPr>
      <w:r w:rsidRPr="005B3394">
        <w:rPr>
          <w:rFonts w:ascii="Tahoma" w:hAnsi="Tahoma" w:cs="Tahoma"/>
          <w:sz w:val="23"/>
          <w:szCs w:val="23"/>
        </w:rPr>
        <w:t>Ejecutar la garantía otorgada por DITRANSERVA S.A.C. por la interposición del presente recurso de reconsideración.</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8"/>
        </w:numPr>
        <w:jc w:val="both"/>
        <w:rPr>
          <w:rFonts w:ascii="Tahoma" w:hAnsi="Tahoma" w:cs="Tahoma"/>
          <w:sz w:val="23"/>
          <w:szCs w:val="23"/>
        </w:rPr>
      </w:pPr>
      <w:r w:rsidRPr="005B3394">
        <w:rPr>
          <w:rFonts w:ascii="Tahoma" w:hAnsi="Tahoma" w:cs="Tahoma"/>
          <w:sz w:val="23"/>
          <w:szCs w:val="23"/>
        </w:rPr>
        <w:lastRenderedPageBreak/>
        <w:t>Poner la presente Resolución en conocimiento del Registro Nacional de Proveedores que administra el Organismo Supervisor de las Contrataciones del Estado (OSCE), para las anotaciones de Ley.</w:t>
      </w:r>
    </w:p>
    <w:p w:rsidR="004077D4" w:rsidRPr="005B3394" w:rsidRDefault="004077D4" w:rsidP="004077D4">
      <w:pPr>
        <w:ind w:left="720"/>
        <w:jc w:val="both"/>
        <w:rPr>
          <w:rFonts w:ascii="Tahoma" w:hAnsi="Tahoma" w:cs="Tahoma"/>
          <w:sz w:val="23"/>
          <w:szCs w:val="23"/>
        </w:rPr>
      </w:pPr>
    </w:p>
    <w:p w:rsidR="004077D4" w:rsidRPr="005B3394" w:rsidRDefault="004077D4" w:rsidP="004077D4">
      <w:pPr>
        <w:numPr>
          <w:ilvl w:val="0"/>
          <w:numId w:val="18"/>
        </w:numPr>
        <w:jc w:val="both"/>
        <w:rPr>
          <w:rFonts w:ascii="Tahoma" w:hAnsi="Tahoma" w:cs="Tahoma"/>
          <w:sz w:val="23"/>
          <w:szCs w:val="23"/>
        </w:rPr>
      </w:pPr>
      <w:r w:rsidRPr="005B3394">
        <w:rPr>
          <w:rFonts w:ascii="Tahoma" w:hAnsi="Tahoma" w:cs="Tahoma"/>
          <w:sz w:val="23"/>
          <w:szCs w:val="23"/>
        </w:rPr>
        <w:t>Dar por agotada la vía administrativa.</w:t>
      </w:r>
    </w:p>
    <w:p w:rsidR="004077D4" w:rsidRPr="005B3394" w:rsidRDefault="004077D4" w:rsidP="004077D4">
      <w:pPr>
        <w:jc w:val="both"/>
        <w:rPr>
          <w:rFonts w:ascii="Tahoma" w:hAnsi="Tahoma" w:cs="Tahoma"/>
          <w:sz w:val="23"/>
          <w:szCs w:val="23"/>
        </w:rPr>
      </w:pPr>
    </w:p>
    <w:p w:rsidR="004077D4" w:rsidRDefault="004077D4" w:rsidP="004077D4">
      <w:pPr>
        <w:jc w:val="both"/>
        <w:rPr>
          <w:rFonts w:ascii="Tahoma" w:hAnsi="Tahoma" w:cs="Tahoma"/>
          <w:sz w:val="23"/>
          <w:szCs w:val="23"/>
        </w:rPr>
      </w:pPr>
    </w:p>
    <w:p w:rsidR="004077D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rPr>
      </w:pPr>
    </w:p>
    <w:p w:rsidR="004077D4" w:rsidRPr="005B3394" w:rsidRDefault="004077D4" w:rsidP="004077D4">
      <w:pPr>
        <w:jc w:val="both"/>
        <w:rPr>
          <w:rFonts w:ascii="Tahoma" w:hAnsi="Tahoma" w:cs="Tahoma"/>
          <w:sz w:val="23"/>
          <w:szCs w:val="23"/>
          <w:lang w:val="es-ES_tradnl"/>
        </w:rPr>
      </w:pPr>
    </w:p>
    <w:p w:rsidR="004077D4" w:rsidRPr="005B3394" w:rsidRDefault="004077D4" w:rsidP="004077D4">
      <w:pPr>
        <w:jc w:val="center"/>
        <w:rPr>
          <w:rFonts w:ascii="Tahoma" w:hAnsi="Tahoma" w:cs="Tahoma"/>
          <w:b/>
          <w:sz w:val="23"/>
          <w:szCs w:val="23"/>
          <w:lang w:val="es-ES_tradnl"/>
        </w:rPr>
      </w:pPr>
      <w:r w:rsidRPr="005B3394">
        <w:rPr>
          <w:rFonts w:ascii="Tahoma" w:hAnsi="Tahoma" w:cs="Tahoma"/>
          <w:b/>
          <w:sz w:val="23"/>
          <w:szCs w:val="23"/>
          <w:lang w:val="es-ES_tradnl"/>
        </w:rPr>
        <w:t>JANETTE RAMIREZ MAYNETTO</w:t>
      </w:r>
    </w:p>
    <w:p w:rsidR="004077D4" w:rsidRPr="005B3394" w:rsidRDefault="004077D4" w:rsidP="004077D4">
      <w:pPr>
        <w:jc w:val="center"/>
        <w:rPr>
          <w:rFonts w:ascii="Tahoma" w:hAnsi="Tahoma" w:cs="Tahoma"/>
          <w:b/>
          <w:sz w:val="23"/>
          <w:szCs w:val="23"/>
        </w:rPr>
      </w:pPr>
      <w:r w:rsidRPr="005B3394">
        <w:rPr>
          <w:rFonts w:ascii="Tahoma" w:hAnsi="Tahoma" w:cs="Tahoma"/>
          <w:b/>
          <w:sz w:val="23"/>
          <w:szCs w:val="23"/>
          <w:lang w:val="es-ES_tradnl"/>
        </w:rPr>
        <w:t xml:space="preserve">Vocal de </w:t>
      </w:r>
      <w:smartTag w:uri="urn:schemas-microsoft-com:office:smarttags" w:element="PersonName">
        <w:smartTagPr>
          <w:attr w:name="ProductID" w:val="LA PRIMERA SALA"/>
        </w:smartTagPr>
        <w:r w:rsidRPr="005B3394">
          <w:rPr>
            <w:rFonts w:ascii="Tahoma" w:hAnsi="Tahoma" w:cs="Tahoma"/>
            <w:b/>
            <w:sz w:val="23"/>
            <w:szCs w:val="23"/>
            <w:lang w:val="es-ES_tradnl"/>
          </w:rPr>
          <w:t>la Primera Sala</w:t>
        </w:r>
      </w:smartTag>
      <w:r w:rsidRPr="005B3394">
        <w:rPr>
          <w:rFonts w:ascii="Tahoma" w:hAnsi="Tahoma" w:cs="Tahoma"/>
          <w:b/>
          <w:sz w:val="23"/>
          <w:szCs w:val="23"/>
          <w:lang w:val="es-ES_tradnl"/>
        </w:rPr>
        <w:t xml:space="preserve"> del Tribunal</w:t>
      </w:r>
    </w:p>
    <w:p w:rsidR="004077D4" w:rsidRPr="005B3394" w:rsidRDefault="004077D4" w:rsidP="004077D4">
      <w:pPr>
        <w:rPr>
          <w:rFonts w:ascii="Tahoma" w:hAnsi="Tahoma" w:cs="Tahoma"/>
          <w:sz w:val="23"/>
          <w:szCs w:val="23"/>
        </w:rPr>
      </w:pPr>
    </w:p>
    <w:p w:rsidR="008B738B" w:rsidRPr="00A704A4" w:rsidRDefault="0012247F">
      <w:pPr>
        <w:rPr>
          <w:sz w:val="23"/>
          <w:szCs w:val="23"/>
        </w:rPr>
      </w:pPr>
    </w:p>
    <w:sectPr w:rsidR="008B738B" w:rsidRPr="00A704A4" w:rsidSect="00AD08AD">
      <w:headerReference w:type="default" r:id="rId7"/>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47F" w:rsidRDefault="0012247F" w:rsidP="00AD08AD">
      <w:r>
        <w:separator/>
      </w:r>
    </w:p>
  </w:endnote>
  <w:endnote w:type="continuationSeparator" w:id="1">
    <w:p w:rsidR="0012247F" w:rsidRDefault="0012247F" w:rsidP="00AD08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47F" w:rsidRDefault="0012247F" w:rsidP="00AD08AD">
      <w:r>
        <w:separator/>
      </w:r>
    </w:p>
  </w:footnote>
  <w:footnote w:type="continuationSeparator" w:id="1">
    <w:p w:rsidR="0012247F" w:rsidRDefault="0012247F" w:rsidP="00AD08AD">
      <w:r>
        <w:continuationSeparator/>
      </w:r>
    </w:p>
  </w:footnote>
  <w:footnote w:id="2">
    <w:p w:rsidR="00AD08AD" w:rsidRDefault="00AD08AD" w:rsidP="00AD08AD">
      <w:pPr>
        <w:jc w:val="both"/>
        <w:rPr>
          <w:rFonts w:ascii="Tahoma" w:hAnsi="Tahoma" w:cs="Tahoma"/>
          <w:sz w:val="16"/>
          <w:szCs w:val="16"/>
          <w:lang w:eastAsia="en-US"/>
        </w:rPr>
      </w:pPr>
      <w:r>
        <w:rPr>
          <w:rStyle w:val="Refdenotaalpie"/>
          <w:rFonts w:cs="Tahoma"/>
          <w:sz w:val="18"/>
          <w:szCs w:val="18"/>
        </w:rPr>
        <w:footnoteRef/>
      </w:r>
      <w:r>
        <w:rPr>
          <w:rFonts w:ascii="Tahoma" w:hAnsi="Tahoma" w:cs="Tahoma"/>
          <w:sz w:val="16"/>
          <w:szCs w:val="16"/>
        </w:rPr>
        <w:t xml:space="preserve"> </w:t>
      </w:r>
      <w:r>
        <w:rPr>
          <w:rFonts w:ascii="Tahoma" w:hAnsi="Tahoma" w:cs="Tahoma"/>
          <w:b/>
          <w:sz w:val="16"/>
          <w:szCs w:val="16"/>
        </w:rPr>
        <w:t>Artículo 294.- Causales de aplicación de sanción a los proveedores, participantes, postores y contratistas.-</w:t>
      </w:r>
      <w:r>
        <w:rPr>
          <w:rFonts w:ascii="Tahoma" w:hAnsi="Tahoma" w:cs="Tahoma"/>
          <w:sz w:val="16"/>
          <w:szCs w:val="16"/>
        </w:rPr>
        <w:t xml:space="preserve"> </w:t>
      </w:r>
    </w:p>
    <w:p w:rsidR="00AD08AD" w:rsidRDefault="00AD08AD" w:rsidP="00AD08AD">
      <w:pPr>
        <w:jc w:val="both"/>
        <w:rPr>
          <w:rFonts w:ascii="Tahoma" w:hAnsi="Tahoma" w:cs="Tahoma"/>
          <w:sz w:val="16"/>
          <w:szCs w:val="16"/>
        </w:rPr>
      </w:pPr>
      <w:r>
        <w:rPr>
          <w:rFonts w:ascii="Tahoma" w:hAnsi="Tahoma" w:cs="Tahoma"/>
          <w:sz w:val="16"/>
          <w:szCs w:val="16"/>
        </w:rPr>
        <w:t>El Tribunal impondrá la sanción administrativa de inhabilitación temporal o definitiva a los proveedores, postores y/o contratistas que:</w:t>
      </w:r>
    </w:p>
    <w:p w:rsidR="00AD08AD" w:rsidRDefault="00AD08AD" w:rsidP="00AD08AD">
      <w:pPr>
        <w:jc w:val="both"/>
        <w:rPr>
          <w:rFonts w:ascii="Tahoma" w:hAnsi="Tahoma" w:cs="Tahoma"/>
          <w:sz w:val="16"/>
          <w:szCs w:val="16"/>
        </w:rPr>
      </w:pPr>
      <w:r>
        <w:rPr>
          <w:rFonts w:ascii="Tahoma" w:hAnsi="Tahoma" w:cs="Tahoma"/>
          <w:sz w:val="16"/>
          <w:szCs w:val="16"/>
        </w:rPr>
        <w:t>[…]</w:t>
      </w:r>
    </w:p>
    <w:p w:rsidR="00AD08AD" w:rsidRDefault="00AD08AD" w:rsidP="00AD08AD">
      <w:pPr>
        <w:jc w:val="both"/>
        <w:rPr>
          <w:rFonts w:ascii="Tahoma" w:hAnsi="Tahoma" w:cs="Tahoma"/>
          <w:sz w:val="16"/>
          <w:szCs w:val="16"/>
        </w:rPr>
      </w:pPr>
      <w:r>
        <w:rPr>
          <w:rFonts w:ascii="Tahoma" w:hAnsi="Tahoma" w:cs="Tahoma"/>
          <w:sz w:val="16"/>
          <w:szCs w:val="16"/>
        </w:rPr>
        <w:t>9) Presenten documentos falsos o inexactos a las Entidades o al CONSUCODE.</w:t>
      </w:r>
    </w:p>
  </w:footnote>
  <w:footnote w:id="3">
    <w:p w:rsidR="00AD08AD" w:rsidRDefault="00AD08AD" w:rsidP="00AD08AD">
      <w:pPr>
        <w:pStyle w:val="Textonotapie"/>
      </w:pPr>
      <w:r>
        <w:rPr>
          <w:rStyle w:val="Refdenotaalpie"/>
        </w:rPr>
        <w:footnoteRef/>
      </w:r>
      <w:r>
        <w:t xml:space="preserve"> </w:t>
      </w:r>
      <w:r w:rsidRPr="00CB11FE">
        <w:rPr>
          <w:rFonts w:ascii="Tahoma" w:hAnsi="Tahoma" w:cs="Tahoma"/>
          <w:sz w:val="16"/>
          <w:szCs w:val="16"/>
        </w:rPr>
        <w:t>Véase el Acuerdo Nº 134/2011.TC-S1  de fecha 28 de febrero del 2011 y el Acuerdo Nº 205-2011-TC-S1 de fecha 28 de marzo del 2011.</w:t>
      </w:r>
    </w:p>
  </w:footnote>
  <w:footnote w:id="4">
    <w:p w:rsidR="00AD08AD" w:rsidRPr="00851217" w:rsidRDefault="00AD08AD" w:rsidP="00AD08AD">
      <w:pPr>
        <w:ind w:right="282" w:hanging="9"/>
        <w:jc w:val="both"/>
        <w:rPr>
          <w:rFonts w:ascii="Tahoma" w:hAnsi="Tahoma" w:cs="Tahoma"/>
          <w:b/>
          <w:i/>
          <w:sz w:val="16"/>
          <w:szCs w:val="16"/>
        </w:rPr>
      </w:pPr>
      <w:r w:rsidRPr="00644431">
        <w:rPr>
          <w:rStyle w:val="Refdenotaalpie"/>
          <w:sz w:val="18"/>
          <w:szCs w:val="18"/>
        </w:rPr>
        <w:footnoteRef/>
      </w:r>
      <w:r w:rsidRPr="00644431">
        <w:rPr>
          <w:sz w:val="18"/>
          <w:szCs w:val="18"/>
        </w:rPr>
        <w:t xml:space="preserve"> </w:t>
      </w:r>
      <w:r w:rsidRPr="00851217">
        <w:rPr>
          <w:rFonts w:ascii="Tahoma" w:hAnsi="Tahoma" w:cs="Tahoma"/>
          <w:b/>
          <w:i/>
          <w:sz w:val="16"/>
          <w:szCs w:val="16"/>
        </w:rPr>
        <w:t>Artículo 20.- Modalidades de notificación</w:t>
      </w:r>
    </w:p>
    <w:p w:rsidR="00AD08AD" w:rsidRPr="00851217" w:rsidRDefault="00AD08AD" w:rsidP="00AD08AD">
      <w:pPr>
        <w:ind w:left="567" w:right="282" w:hanging="434"/>
        <w:jc w:val="both"/>
        <w:rPr>
          <w:rFonts w:ascii="Tahoma" w:hAnsi="Tahoma" w:cs="Tahoma"/>
          <w:i/>
          <w:sz w:val="16"/>
          <w:szCs w:val="16"/>
        </w:rPr>
      </w:pPr>
      <w:r w:rsidRPr="00851217">
        <w:rPr>
          <w:rFonts w:ascii="Tahoma" w:hAnsi="Tahoma" w:cs="Tahoma"/>
          <w:i/>
          <w:sz w:val="16"/>
          <w:szCs w:val="16"/>
        </w:rPr>
        <w:t>20.1 Las notificaciones serán efectuadas a través de las siguientes modalidades, según este respectivo orden de prelación:</w:t>
      </w:r>
    </w:p>
    <w:p w:rsidR="00AD08AD" w:rsidRPr="00851217" w:rsidRDefault="00AD08AD" w:rsidP="00AD08AD">
      <w:pPr>
        <w:ind w:left="709" w:right="282" w:hanging="576"/>
        <w:jc w:val="both"/>
        <w:rPr>
          <w:rFonts w:ascii="Tahoma" w:hAnsi="Tahoma" w:cs="Tahoma"/>
          <w:i/>
          <w:sz w:val="16"/>
          <w:szCs w:val="16"/>
        </w:rPr>
      </w:pPr>
      <w:r w:rsidRPr="00851217">
        <w:rPr>
          <w:rFonts w:ascii="Tahoma" w:hAnsi="Tahoma" w:cs="Tahoma"/>
          <w:i/>
          <w:sz w:val="16"/>
          <w:szCs w:val="16"/>
        </w:rPr>
        <w:t>20.1.1 Notificación personal al administrado interesado o afectado por el acto, en su domicilio.</w:t>
      </w:r>
    </w:p>
    <w:p w:rsidR="00AD08AD" w:rsidRPr="00851217" w:rsidRDefault="00AD08AD" w:rsidP="00AD08AD">
      <w:pPr>
        <w:ind w:left="709" w:right="282" w:hanging="576"/>
        <w:jc w:val="both"/>
        <w:rPr>
          <w:rFonts w:ascii="Tahoma" w:hAnsi="Tahoma" w:cs="Tahoma"/>
          <w:i/>
          <w:sz w:val="16"/>
          <w:szCs w:val="16"/>
        </w:rPr>
      </w:pPr>
      <w:r w:rsidRPr="00851217">
        <w:rPr>
          <w:rFonts w:ascii="Tahoma" w:hAnsi="Tahoma" w:cs="Tahoma"/>
          <w:i/>
          <w:sz w:val="16"/>
          <w:szCs w:val="16"/>
        </w:rPr>
        <w:t>20.1.2 Mediante telegrama, correo certificado, telefax, correo electrónico; o cualquier otro medio que permita comprobar fehacientemente su acuse de recibo y quien lo recibe, siempre que el empleo de cualquiera de estos medios hubiese sido solicitado expresamente por el administrado.</w:t>
      </w:r>
    </w:p>
    <w:p w:rsidR="00AD08AD" w:rsidRPr="00851217" w:rsidRDefault="00AD08AD" w:rsidP="00AD08AD">
      <w:pPr>
        <w:ind w:left="709" w:right="282" w:hanging="576"/>
        <w:jc w:val="both"/>
        <w:rPr>
          <w:rFonts w:ascii="Tahoma" w:hAnsi="Tahoma" w:cs="Tahoma"/>
          <w:i/>
          <w:sz w:val="16"/>
          <w:szCs w:val="16"/>
        </w:rPr>
      </w:pPr>
      <w:r w:rsidRPr="00851217">
        <w:rPr>
          <w:rFonts w:ascii="Tahoma" w:hAnsi="Tahoma" w:cs="Tahoma"/>
          <w:i/>
          <w:sz w:val="16"/>
          <w:szCs w:val="16"/>
        </w:rPr>
        <w:t>20.1.3 Por publicación en el Diario Oficial y en uno de los diarios de mayor circulación en el territorio nacional, salvo disposición distinta de la ley.</w:t>
      </w:r>
    </w:p>
    <w:p w:rsidR="00AD08AD" w:rsidRPr="00851217" w:rsidRDefault="00AD08AD" w:rsidP="00AD08AD">
      <w:pPr>
        <w:ind w:left="567" w:right="282" w:hanging="425"/>
        <w:jc w:val="both"/>
        <w:rPr>
          <w:rFonts w:ascii="Tahoma" w:hAnsi="Tahoma" w:cs="Tahoma"/>
          <w:i/>
          <w:sz w:val="16"/>
          <w:szCs w:val="16"/>
        </w:rPr>
      </w:pPr>
      <w:r w:rsidRPr="00851217">
        <w:rPr>
          <w:rFonts w:ascii="Tahoma" w:hAnsi="Tahoma" w:cs="Tahoma"/>
          <w:i/>
          <w:sz w:val="16"/>
          <w:szCs w:val="16"/>
        </w:rPr>
        <w:t>20.2 La autoridad no podrá suplir alguna modalidad con otra, bajo sanción de nulidad de la notificación. Podrá acudir complementariamente a aquellas u otras, si así lo estimare conveniente para mejorar las posibilidades de participación de los administrados.</w:t>
      </w:r>
    </w:p>
    <w:p w:rsidR="00AD08AD" w:rsidRPr="00851217" w:rsidRDefault="00AD08AD" w:rsidP="00AD08AD">
      <w:pPr>
        <w:ind w:left="567" w:right="282" w:hanging="425"/>
        <w:jc w:val="both"/>
        <w:rPr>
          <w:rFonts w:ascii="Tahoma" w:hAnsi="Tahoma" w:cs="Tahoma"/>
          <w:i/>
          <w:sz w:val="16"/>
          <w:szCs w:val="16"/>
        </w:rPr>
      </w:pPr>
      <w:r w:rsidRPr="00851217">
        <w:rPr>
          <w:rFonts w:ascii="Tahoma" w:hAnsi="Tahoma" w:cs="Tahoma"/>
          <w:i/>
          <w:sz w:val="16"/>
          <w:szCs w:val="16"/>
        </w:rPr>
        <w:t>20.3 Tratamiento igual al previsto en este capítulo corresponde a los citatorios, los emplazamientos, los requerimientos de documentos o de otros actos administrativos análogos.</w:t>
      </w:r>
    </w:p>
    <w:p w:rsidR="00AD08AD" w:rsidRPr="00851217" w:rsidRDefault="00AD08AD" w:rsidP="00AD08AD">
      <w:pPr>
        <w:pStyle w:val="Textonotapie"/>
        <w:rPr>
          <w:rFonts w:ascii="Tahoma" w:hAnsi="Tahoma" w:cs="Tahoma"/>
          <w:sz w:val="16"/>
          <w:szCs w:val="16"/>
        </w:rPr>
      </w:pPr>
    </w:p>
  </w:footnote>
  <w:footnote w:id="5">
    <w:p w:rsidR="00AD08AD" w:rsidRPr="00851217" w:rsidRDefault="00AD08AD" w:rsidP="00AD08AD">
      <w:pPr>
        <w:pStyle w:val="Textonotapie"/>
        <w:jc w:val="both"/>
        <w:rPr>
          <w:rFonts w:ascii="Tahoma" w:hAnsi="Tahoma" w:cs="Tahoma"/>
          <w:i/>
          <w:sz w:val="16"/>
          <w:szCs w:val="16"/>
        </w:rPr>
      </w:pPr>
      <w:r>
        <w:rPr>
          <w:rStyle w:val="Refdenotaalpie"/>
        </w:rPr>
        <w:footnoteRef/>
      </w:r>
      <w:r>
        <w:t xml:space="preserve"> </w:t>
      </w:r>
      <w:r w:rsidRPr="00851217">
        <w:rPr>
          <w:rFonts w:ascii="Tahoma" w:hAnsi="Tahoma" w:cs="Tahoma"/>
          <w:sz w:val="16"/>
          <w:szCs w:val="16"/>
        </w:rPr>
        <w:t xml:space="preserve">En efecto, tal como lo indica Juan Carlos Morón Urbina en Comentarios a la Ley del Procedimiento Administrativo General, </w:t>
      </w:r>
      <w:r w:rsidRPr="00851217">
        <w:rPr>
          <w:rFonts w:ascii="Tahoma" w:hAnsi="Tahoma" w:cs="Tahoma"/>
          <w:i/>
          <w:sz w:val="16"/>
          <w:szCs w:val="16"/>
        </w:rPr>
        <w:t>“la ley señala algunos derroteros que la autoridad instructora debe seguir:</w:t>
      </w:r>
    </w:p>
    <w:p w:rsidR="00AD08AD" w:rsidRPr="00851217" w:rsidRDefault="00AD08AD" w:rsidP="00AD08AD">
      <w:pPr>
        <w:pStyle w:val="Textonotapie"/>
        <w:jc w:val="both"/>
        <w:rPr>
          <w:rFonts w:ascii="Tahoma" w:hAnsi="Tahoma" w:cs="Tahoma"/>
          <w:i/>
          <w:sz w:val="16"/>
          <w:szCs w:val="16"/>
        </w:rPr>
      </w:pPr>
      <w:r w:rsidRPr="00851217">
        <w:rPr>
          <w:rFonts w:ascii="Tahoma" w:hAnsi="Tahoma" w:cs="Tahoma"/>
          <w:i/>
          <w:sz w:val="16"/>
          <w:szCs w:val="16"/>
        </w:rPr>
        <w:t>2.1. Buscar algún otro procedimiento en el que el administrado cuyo domicilio se ignora, haya estado identificado en el mismo órgano administrativo u otro de la misma entidad. De ubicarlo, este será el domicilio en el que obligatoriamente se deberá efectuar las notificaciones.</w:t>
      </w:r>
    </w:p>
    <w:p w:rsidR="00AD08AD" w:rsidRDefault="00AD08AD" w:rsidP="00AD08AD">
      <w:pPr>
        <w:pStyle w:val="Textonotapie"/>
        <w:jc w:val="both"/>
      </w:pPr>
      <w:r w:rsidRPr="00851217">
        <w:rPr>
          <w:rFonts w:ascii="Tahoma" w:hAnsi="Tahoma" w:cs="Tahoma"/>
          <w:i/>
          <w:sz w:val="16"/>
          <w:szCs w:val="16"/>
        </w:rPr>
        <w:t>2.2. Agostar la búsqueda mediante los medios que se encuentren a su alcance (Ejm. Archivos institucionales, bases de datos de contribuyente, información de teléfonos domiciliarios), e incluso recurriendo a la información de entidades locales (Ejm. Municipios, RENIEC, registro migratorio, propiedades, etc”</w:t>
      </w:r>
    </w:p>
  </w:footnote>
  <w:footnote w:id="6">
    <w:p w:rsidR="004077D4" w:rsidRPr="00E4680B" w:rsidRDefault="004077D4" w:rsidP="004077D4">
      <w:pPr>
        <w:pStyle w:val="Textonotapie"/>
        <w:jc w:val="both"/>
        <w:rPr>
          <w:b/>
          <w:i/>
          <w:sz w:val="18"/>
          <w:szCs w:val="18"/>
        </w:rPr>
      </w:pPr>
      <w:r w:rsidRPr="00E4680B">
        <w:rPr>
          <w:rStyle w:val="Refdenotaalpie"/>
          <w:i/>
          <w:sz w:val="18"/>
          <w:szCs w:val="18"/>
        </w:rPr>
        <w:footnoteRef/>
      </w:r>
      <w:r w:rsidRPr="00E4680B">
        <w:rPr>
          <w:i/>
          <w:sz w:val="18"/>
          <w:szCs w:val="18"/>
        </w:rPr>
        <w:t xml:space="preserve"> </w:t>
      </w:r>
      <w:r w:rsidRPr="00E4680B">
        <w:rPr>
          <w:b/>
          <w:i/>
          <w:sz w:val="18"/>
          <w:szCs w:val="18"/>
        </w:rPr>
        <w:t>Artículo 20.- Modalidades de Notificación.</w:t>
      </w:r>
    </w:p>
    <w:p w:rsidR="004077D4" w:rsidRPr="00E4680B" w:rsidRDefault="004077D4" w:rsidP="004077D4">
      <w:pPr>
        <w:pStyle w:val="Textonotapie"/>
        <w:jc w:val="both"/>
        <w:rPr>
          <w:i/>
          <w:sz w:val="18"/>
          <w:szCs w:val="18"/>
        </w:rPr>
      </w:pPr>
      <w:r w:rsidRPr="00E4680B">
        <w:rPr>
          <w:i/>
          <w:sz w:val="18"/>
          <w:szCs w:val="18"/>
        </w:rPr>
        <w:t>20.1 Las notificaciones serán efectuadas a través de las siguientes modalidades, según este respectivo orden de prelación:</w:t>
      </w:r>
    </w:p>
    <w:p w:rsidR="004077D4" w:rsidRPr="00E4680B" w:rsidRDefault="004077D4" w:rsidP="004077D4">
      <w:pPr>
        <w:pStyle w:val="Textonotapie"/>
        <w:ind w:left="284"/>
        <w:jc w:val="both"/>
        <w:rPr>
          <w:i/>
          <w:sz w:val="18"/>
          <w:szCs w:val="18"/>
        </w:rPr>
      </w:pPr>
      <w:r w:rsidRPr="00E4680B">
        <w:rPr>
          <w:i/>
          <w:sz w:val="18"/>
          <w:szCs w:val="18"/>
        </w:rPr>
        <w:t>20.1.1 Notificación personal al administrado interesado o afectado por el  acto, en su domicilio.</w:t>
      </w:r>
    </w:p>
    <w:p w:rsidR="004077D4" w:rsidRPr="00E4680B" w:rsidRDefault="004077D4" w:rsidP="004077D4">
      <w:pPr>
        <w:pStyle w:val="Textonotapie"/>
        <w:ind w:left="284"/>
        <w:jc w:val="both"/>
        <w:rPr>
          <w:i/>
          <w:sz w:val="18"/>
          <w:szCs w:val="18"/>
        </w:rPr>
      </w:pPr>
      <w:r w:rsidRPr="00E4680B">
        <w:rPr>
          <w:i/>
          <w:sz w:val="18"/>
          <w:szCs w:val="18"/>
        </w:rPr>
        <w:t>20.1.2 Mediante telegrama, correo certificado, telefax; o cualquier otro medio que permita comprobar fehacientemente su acuse de recibo y quien lo recibe, siempre que el empleo de cualquiera de estos medios hubiese sido solicitado expresamente por el administrado.</w:t>
      </w:r>
    </w:p>
    <w:p w:rsidR="004077D4" w:rsidRPr="00E4680B" w:rsidRDefault="004077D4" w:rsidP="004077D4">
      <w:pPr>
        <w:pStyle w:val="Textonotapie"/>
        <w:ind w:left="284"/>
        <w:jc w:val="both"/>
        <w:rPr>
          <w:i/>
          <w:sz w:val="18"/>
          <w:szCs w:val="18"/>
        </w:rPr>
      </w:pPr>
      <w:r w:rsidRPr="00E4680B">
        <w:rPr>
          <w:i/>
          <w:sz w:val="18"/>
          <w:szCs w:val="18"/>
        </w:rPr>
        <w:t>20.1.3 Por publicación en el Diario Oficial y en uno de los diarios de mayor circulación en el territorio nacional, salvo disposición distinta de la ley.</w:t>
      </w:r>
    </w:p>
    <w:p w:rsidR="004077D4" w:rsidRPr="00E4680B" w:rsidRDefault="004077D4" w:rsidP="004077D4">
      <w:pPr>
        <w:pStyle w:val="Textonotapie"/>
        <w:jc w:val="both"/>
        <w:rPr>
          <w:i/>
          <w:sz w:val="18"/>
          <w:szCs w:val="18"/>
        </w:rPr>
      </w:pPr>
      <w:r w:rsidRPr="00E4680B">
        <w:rPr>
          <w:i/>
          <w:sz w:val="18"/>
          <w:szCs w:val="18"/>
        </w:rPr>
        <w:t>20.2 La autoridad no podrá suplir alguna modalidad con otra, bajo sanción de nulidad de la notificación. Podrá acudir complementariamente a aquellas u otras, si así lo estimare conveniente para mejorar las posibilidades de participación de los administrados.</w:t>
      </w:r>
    </w:p>
    <w:p w:rsidR="004077D4" w:rsidRPr="00E4680B" w:rsidRDefault="004077D4" w:rsidP="004077D4">
      <w:pPr>
        <w:pStyle w:val="Textonotapie"/>
        <w:jc w:val="both"/>
        <w:rPr>
          <w:i/>
          <w:sz w:val="18"/>
          <w:szCs w:val="18"/>
        </w:rPr>
      </w:pPr>
      <w:r w:rsidRPr="00E4680B">
        <w:rPr>
          <w:i/>
          <w:sz w:val="18"/>
          <w:szCs w:val="18"/>
        </w:rPr>
        <w:t xml:space="preserve"> […]</w:t>
      </w:r>
    </w:p>
    <w:p w:rsidR="004077D4" w:rsidRPr="00E4680B" w:rsidRDefault="004077D4" w:rsidP="004077D4">
      <w:pPr>
        <w:pStyle w:val="Textonotapie"/>
        <w:jc w:val="both"/>
        <w:rPr>
          <w:i/>
          <w:sz w:val="18"/>
          <w:szCs w:val="18"/>
        </w:rPr>
      </w:pPr>
    </w:p>
  </w:footnote>
  <w:footnote w:id="7">
    <w:p w:rsidR="004077D4" w:rsidRPr="00E4680B" w:rsidRDefault="004077D4" w:rsidP="004077D4">
      <w:pPr>
        <w:pStyle w:val="Textonotapie"/>
        <w:jc w:val="both"/>
        <w:rPr>
          <w:b/>
          <w:i/>
          <w:sz w:val="18"/>
          <w:szCs w:val="18"/>
        </w:rPr>
      </w:pPr>
      <w:r w:rsidRPr="00E4680B">
        <w:rPr>
          <w:rStyle w:val="Refdenotaalpie"/>
          <w:i/>
          <w:sz w:val="18"/>
          <w:szCs w:val="18"/>
        </w:rPr>
        <w:footnoteRef/>
      </w:r>
      <w:r w:rsidRPr="00E4680B">
        <w:rPr>
          <w:i/>
          <w:sz w:val="18"/>
          <w:szCs w:val="18"/>
        </w:rPr>
        <w:t xml:space="preserve"> </w:t>
      </w:r>
      <w:r w:rsidRPr="00E4680B">
        <w:rPr>
          <w:b/>
          <w:i/>
          <w:sz w:val="18"/>
          <w:szCs w:val="18"/>
        </w:rPr>
        <w:t>Artículo 27.- Saneamiento de notificaciones defectuosas.</w:t>
      </w:r>
    </w:p>
    <w:p w:rsidR="004077D4" w:rsidRPr="00E4680B" w:rsidRDefault="004077D4" w:rsidP="004077D4">
      <w:pPr>
        <w:pStyle w:val="Textonotapie"/>
        <w:jc w:val="both"/>
        <w:rPr>
          <w:i/>
          <w:sz w:val="18"/>
          <w:szCs w:val="18"/>
          <w:lang w:val="es-MX"/>
        </w:rPr>
      </w:pPr>
      <w:r w:rsidRPr="00E4680B">
        <w:rPr>
          <w:i/>
          <w:sz w:val="18"/>
          <w:szCs w:val="18"/>
        </w:rPr>
        <w:t xml:space="preserve">27.1. </w:t>
      </w:r>
      <w:r w:rsidRPr="00E4680B">
        <w:rPr>
          <w:i/>
          <w:sz w:val="18"/>
          <w:szCs w:val="18"/>
          <w:lang w:val="es-MX"/>
        </w:rPr>
        <w:t>La notificación defectuosa por omisión de alguno de sus requisitos  de contenido, surtirá efectos legales a partir de la fecha en que el interesado manifiesta expresamente haberla recibido, si no hay  prueba en contrario.</w:t>
      </w:r>
    </w:p>
    <w:p w:rsidR="004077D4" w:rsidRPr="00E4680B" w:rsidRDefault="004077D4" w:rsidP="004077D4">
      <w:pPr>
        <w:pStyle w:val="Textonotapie"/>
        <w:tabs>
          <w:tab w:val="left" w:pos="8364"/>
        </w:tabs>
        <w:jc w:val="both"/>
        <w:rPr>
          <w:i/>
          <w:sz w:val="18"/>
          <w:szCs w:val="18"/>
        </w:rPr>
      </w:pPr>
      <w:r w:rsidRPr="00E4680B">
        <w:rPr>
          <w:i/>
          <w:sz w:val="18"/>
          <w:szCs w:val="18"/>
          <w:lang w:val="es-MX"/>
        </w:rPr>
        <w:t xml:space="preserve">27.2. También se tendrá por bien notificado al administrado a partir de la realización de actuaciones procedimentales del interesado que permitan suponer razonablemente que tuvo conocimiento oportuno del contenido o alcance de la resolución o interponga cualquier recurso que proceda </w:t>
      </w:r>
      <w:r w:rsidRPr="00E4680B">
        <w:rPr>
          <w:i/>
          <w:sz w:val="18"/>
          <w:szCs w:val="18"/>
        </w:rPr>
        <w:t>[…]</w:t>
      </w:r>
    </w:p>
  </w:footnote>
  <w:footnote w:id="8">
    <w:p w:rsidR="004077D4" w:rsidRPr="00E4680B" w:rsidRDefault="004077D4" w:rsidP="004077D4">
      <w:pPr>
        <w:pStyle w:val="Textonotapie"/>
        <w:jc w:val="both"/>
        <w:rPr>
          <w:i/>
          <w:sz w:val="18"/>
          <w:szCs w:val="18"/>
        </w:rPr>
      </w:pPr>
      <w:r w:rsidRPr="00E4680B">
        <w:rPr>
          <w:rStyle w:val="Refdenotaalpie"/>
          <w:i/>
          <w:sz w:val="18"/>
          <w:szCs w:val="18"/>
        </w:rPr>
        <w:footnoteRef/>
      </w:r>
      <w:r w:rsidRPr="00E4680B">
        <w:rPr>
          <w:i/>
          <w:sz w:val="18"/>
          <w:szCs w:val="18"/>
        </w:rPr>
        <w:t xml:space="preserve"> MORÓN URBINA, Juan Carlos. </w:t>
      </w:r>
      <w:r w:rsidRPr="00E4680B">
        <w:rPr>
          <w:b/>
          <w:i/>
          <w:sz w:val="18"/>
          <w:szCs w:val="18"/>
        </w:rPr>
        <w:t xml:space="preserve">Comentarios a </w:t>
      </w:r>
      <w:smartTag w:uri="urn:schemas-microsoft-com:office:smarttags" w:element="PersonName">
        <w:smartTagPr>
          <w:attr w:name="ProductID" w:val="la Ley"/>
        </w:smartTagPr>
        <w:r w:rsidRPr="00E4680B">
          <w:rPr>
            <w:b/>
            <w:i/>
            <w:sz w:val="18"/>
            <w:szCs w:val="18"/>
          </w:rPr>
          <w:t>la Ley</w:t>
        </w:r>
      </w:smartTag>
      <w:r w:rsidRPr="00E4680B">
        <w:rPr>
          <w:b/>
          <w:i/>
          <w:sz w:val="18"/>
          <w:szCs w:val="18"/>
        </w:rPr>
        <w:t xml:space="preserve"> del Procedimiento Administrativo General</w:t>
      </w:r>
      <w:r w:rsidRPr="00E4680B">
        <w:rPr>
          <w:i/>
          <w:sz w:val="18"/>
          <w:szCs w:val="18"/>
        </w:rPr>
        <w:t>. 5ta. edición. Lima: Gaceta Jurídica, 2006. Págs. 180 y 195.</w:t>
      </w:r>
    </w:p>
    <w:p w:rsidR="004077D4" w:rsidRPr="00E4680B" w:rsidRDefault="004077D4" w:rsidP="004077D4">
      <w:pPr>
        <w:pStyle w:val="Textonotapie"/>
        <w:jc w:val="both"/>
        <w:rPr>
          <w:i/>
          <w:sz w:val="18"/>
          <w:szCs w:val="18"/>
        </w:rPr>
      </w:pPr>
    </w:p>
  </w:footnote>
  <w:footnote w:id="9">
    <w:p w:rsidR="004077D4" w:rsidRPr="004077D4" w:rsidRDefault="004077D4" w:rsidP="004077D4">
      <w:pPr>
        <w:pStyle w:val="Textonotapie"/>
        <w:jc w:val="both"/>
        <w:rPr>
          <w:i/>
          <w:sz w:val="18"/>
          <w:szCs w:val="18"/>
        </w:rPr>
      </w:pPr>
      <w:r w:rsidRPr="00E4680B">
        <w:rPr>
          <w:rStyle w:val="Refdenotaalpie"/>
          <w:i/>
          <w:sz w:val="18"/>
          <w:szCs w:val="18"/>
        </w:rPr>
        <w:footnoteRef/>
      </w:r>
      <w:r w:rsidRPr="004077D4">
        <w:rPr>
          <w:i/>
          <w:sz w:val="18"/>
          <w:szCs w:val="18"/>
        </w:rPr>
        <w:t xml:space="preserve"> Ver Resolución Nº 1636-2008-TC-S3, Nº 2099-2008-TC-S3, Nº 195-2009-TC-S3, Nº 2103-2009-TC-S2, Nº 2302-2010-TC-S2.</w:t>
      </w:r>
    </w:p>
  </w:footnote>
  <w:footnote w:id="10">
    <w:p w:rsidR="004077D4" w:rsidRPr="00E4680B" w:rsidRDefault="004077D4" w:rsidP="004077D4">
      <w:pPr>
        <w:pStyle w:val="Textonotapie"/>
        <w:jc w:val="both"/>
        <w:rPr>
          <w:i/>
          <w:sz w:val="18"/>
          <w:szCs w:val="18"/>
        </w:rPr>
      </w:pPr>
      <w:r w:rsidRPr="00E4680B">
        <w:rPr>
          <w:rStyle w:val="Refdenotaalpie"/>
          <w:i/>
          <w:sz w:val="18"/>
          <w:szCs w:val="18"/>
        </w:rPr>
        <w:footnoteRef/>
      </w:r>
      <w:r w:rsidRPr="00E4680B">
        <w:rPr>
          <w:i/>
          <w:sz w:val="18"/>
          <w:szCs w:val="18"/>
        </w:rPr>
        <w:t xml:space="preserve"> Artículo 172 del Código Procesal Civil.- Principios de Convalidación, subsanación o integración.</w:t>
      </w:r>
    </w:p>
  </w:footnote>
  <w:footnote w:id="11">
    <w:p w:rsidR="004077D4" w:rsidRPr="00E4680B" w:rsidRDefault="004077D4" w:rsidP="004077D4">
      <w:pPr>
        <w:pStyle w:val="Textonotapie"/>
        <w:jc w:val="both"/>
        <w:rPr>
          <w:i/>
          <w:sz w:val="18"/>
          <w:szCs w:val="18"/>
        </w:rPr>
      </w:pPr>
      <w:r w:rsidRPr="00E4680B">
        <w:rPr>
          <w:rStyle w:val="Refdenotaalpie"/>
          <w:i/>
          <w:sz w:val="18"/>
          <w:szCs w:val="18"/>
        </w:rPr>
        <w:footnoteRef/>
      </w:r>
      <w:r w:rsidRPr="00E4680B">
        <w:rPr>
          <w:i/>
          <w:sz w:val="18"/>
          <w:szCs w:val="18"/>
        </w:rPr>
        <w:t xml:space="preserve"> Exp. N. º 1759-96-Lima, SCSS. P. 11/06/98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33F" w:rsidRDefault="0070633F" w:rsidP="0070633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0633F" w:rsidRDefault="0070633F" w:rsidP="0070633F">
    <w:pPr>
      <w:pStyle w:val="Encabezado"/>
      <w:rPr>
        <w:noProof/>
      </w:rPr>
    </w:pPr>
  </w:p>
  <w:p w:rsidR="0070633F" w:rsidRDefault="0070633F" w:rsidP="0070633F">
    <w:pPr>
      <w:pStyle w:val="Encabezado"/>
      <w:jc w:val="center"/>
      <w:rPr>
        <w:rFonts w:ascii="Monotype Corsiva" w:hAnsi="Monotype Corsiva"/>
        <w:b/>
        <w:sz w:val="44"/>
        <w:szCs w:val="44"/>
      </w:rPr>
    </w:pPr>
  </w:p>
  <w:p w:rsidR="0070633F" w:rsidRDefault="0070633F" w:rsidP="0070633F">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1261-2011-TC-S1</w:t>
    </w:r>
  </w:p>
  <w:p w:rsidR="0070633F" w:rsidRDefault="0070633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84101"/>
    <w:multiLevelType w:val="hybridMultilevel"/>
    <w:tmpl w:val="08AABC64"/>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
    <w:nsid w:val="0C193A55"/>
    <w:multiLevelType w:val="hybridMultilevel"/>
    <w:tmpl w:val="0F0452D4"/>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0B57983"/>
    <w:multiLevelType w:val="hybridMultilevel"/>
    <w:tmpl w:val="7EFAA28A"/>
    <w:lvl w:ilvl="0" w:tplc="F452903A">
      <w:start w:val="1"/>
      <w:numFmt w:val="lowerLetter"/>
      <w:lvlText w:val="%1)"/>
      <w:lvlJc w:val="left"/>
      <w:pPr>
        <w:ind w:left="900" w:hanging="360"/>
      </w:pPr>
      <w:rPr>
        <w:rFonts w:hint="default"/>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4">
    <w:nsid w:val="2A3F6A43"/>
    <w:multiLevelType w:val="hybridMultilevel"/>
    <w:tmpl w:val="789EB932"/>
    <w:lvl w:ilvl="0" w:tplc="28B29AC8">
      <w:start w:val="1"/>
      <w:numFmt w:val="decimal"/>
      <w:lvlText w:val="%1."/>
      <w:lvlJc w:val="left"/>
      <w:pPr>
        <w:tabs>
          <w:tab w:val="num" w:pos="1065"/>
        </w:tabs>
        <w:ind w:left="1065" w:hanging="705"/>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2E732141"/>
    <w:multiLevelType w:val="hybridMultilevel"/>
    <w:tmpl w:val="C7F6BD88"/>
    <w:lvl w:ilvl="0" w:tplc="0C0A001B">
      <w:start w:val="1"/>
      <w:numFmt w:val="lowerRoman"/>
      <w:lvlText w:val="%1."/>
      <w:lvlJc w:val="right"/>
      <w:pPr>
        <w:ind w:left="1211" w:hanging="360"/>
      </w:p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6">
    <w:nsid w:val="353575A8"/>
    <w:multiLevelType w:val="hybridMultilevel"/>
    <w:tmpl w:val="54F0E0A2"/>
    <w:lvl w:ilvl="0" w:tplc="5150BA24">
      <w:start w:val="1"/>
      <w:numFmt w:val="decimal"/>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3B2B32E0"/>
    <w:multiLevelType w:val="multilevel"/>
    <w:tmpl w:val="1794FE06"/>
    <w:lvl w:ilvl="0">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start w:val="1"/>
      <w:numFmt w:val="decimal"/>
      <w:isLgl/>
      <w:lvlText w:val="%1.%2."/>
      <w:lvlJc w:val="left"/>
      <w:pPr>
        <w:ind w:left="1287" w:hanging="72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8">
    <w:nsid w:val="41646CFA"/>
    <w:multiLevelType w:val="hybridMultilevel"/>
    <w:tmpl w:val="5506504A"/>
    <w:lvl w:ilvl="0" w:tplc="BDF84ADA">
      <w:start w:val="1"/>
      <w:numFmt w:val="lowerLetter"/>
      <w:lvlText w:val="%1)"/>
      <w:lvlJc w:val="left"/>
      <w:pPr>
        <w:ind w:left="1287" w:hanging="360"/>
      </w:pPr>
      <w:rPr>
        <w:b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419356EA"/>
    <w:multiLevelType w:val="hybridMultilevel"/>
    <w:tmpl w:val="C4F44BD0"/>
    <w:lvl w:ilvl="0" w:tplc="B84CDF3C">
      <w:start w:val="1"/>
      <w:numFmt w:val="lowerLetter"/>
      <w:lvlText w:val="%1)"/>
      <w:lvlJc w:val="left"/>
      <w:pPr>
        <w:ind w:left="900" w:hanging="360"/>
      </w:pPr>
      <w:rPr>
        <w:rFonts w:hint="default"/>
        <w:b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10">
    <w:nsid w:val="4CFD5523"/>
    <w:multiLevelType w:val="hybridMultilevel"/>
    <w:tmpl w:val="BFACB218"/>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531F1534"/>
    <w:multiLevelType w:val="hybridMultilevel"/>
    <w:tmpl w:val="4D063B3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DAE38BE"/>
    <w:multiLevelType w:val="hybridMultilevel"/>
    <w:tmpl w:val="02B2C874"/>
    <w:lvl w:ilvl="0" w:tplc="BDB686FE">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tplc="A40866B2">
      <w:numFmt w:val="none"/>
      <w:lvlText w:val=""/>
      <w:lvlJc w:val="left"/>
      <w:pPr>
        <w:tabs>
          <w:tab w:val="num" w:pos="360"/>
        </w:tabs>
      </w:pPr>
    </w:lvl>
    <w:lvl w:ilvl="2" w:tplc="1C5A215C">
      <w:numFmt w:val="none"/>
      <w:lvlText w:val=""/>
      <w:lvlJc w:val="left"/>
      <w:pPr>
        <w:tabs>
          <w:tab w:val="num" w:pos="360"/>
        </w:tabs>
      </w:pPr>
    </w:lvl>
    <w:lvl w:ilvl="3" w:tplc="4288CF7A">
      <w:numFmt w:val="none"/>
      <w:lvlText w:val=""/>
      <w:lvlJc w:val="left"/>
      <w:pPr>
        <w:tabs>
          <w:tab w:val="num" w:pos="360"/>
        </w:tabs>
      </w:pPr>
    </w:lvl>
    <w:lvl w:ilvl="4" w:tplc="20A49144">
      <w:numFmt w:val="none"/>
      <w:lvlText w:val=""/>
      <w:lvlJc w:val="left"/>
      <w:pPr>
        <w:tabs>
          <w:tab w:val="num" w:pos="360"/>
        </w:tabs>
      </w:pPr>
    </w:lvl>
    <w:lvl w:ilvl="5" w:tplc="6680B670">
      <w:numFmt w:val="none"/>
      <w:lvlText w:val=""/>
      <w:lvlJc w:val="left"/>
      <w:pPr>
        <w:tabs>
          <w:tab w:val="num" w:pos="360"/>
        </w:tabs>
      </w:pPr>
    </w:lvl>
    <w:lvl w:ilvl="6" w:tplc="5A445ECE">
      <w:numFmt w:val="none"/>
      <w:lvlText w:val=""/>
      <w:lvlJc w:val="left"/>
      <w:pPr>
        <w:tabs>
          <w:tab w:val="num" w:pos="360"/>
        </w:tabs>
      </w:pPr>
    </w:lvl>
    <w:lvl w:ilvl="7" w:tplc="9F20F9BC">
      <w:numFmt w:val="none"/>
      <w:lvlText w:val=""/>
      <w:lvlJc w:val="left"/>
      <w:pPr>
        <w:tabs>
          <w:tab w:val="num" w:pos="360"/>
        </w:tabs>
      </w:pPr>
    </w:lvl>
    <w:lvl w:ilvl="8" w:tplc="2E32A642">
      <w:numFmt w:val="none"/>
      <w:lvlText w:val=""/>
      <w:lvlJc w:val="left"/>
      <w:pPr>
        <w:tabs>
          <w:tab w:val="num" w:pos="360"/>
        </w:tabs>
      </w:pPr>
    </w:lvl>
  </w:abstractNum>
  <w:abstractNum w:abstractNumId="13">
    <w:nsid w:val="5E1931F5"/>
    <w:multiLevelType w:val="hybridMultilevel"/>
    <w:tmpl w:val="4822A0B0"/>
    <w:lvl w:ilvl="0" w:tplc="1B620946">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5F1566A6"/>
    <w:multiLevelType w:val="hybridMultilevel"/>
    <w:tmpl w:val="5F78036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6D16272D"/>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3C10BA7"/>
    <w:multiLevelType w:val="hybridMultilevel"/>
    <w:tmpl w:val="80EEA6F8"/>
    <w:lvl w:ilvl="0" w:tplc="8EA03CE0">
      <w:start w:val="1"/>
      <w:numFmt w:val="decimal"/>
      <w:lvlText w:val="%1."/>
      <w:lvlJc w:val="right"/>
      <w:pPr>
        <w:ind w:left="720" w:hanging="360"/>
      </w:pPr>
      <w:rPr>
        <w:rFonts w:ascii="Tahoma" w:hAnsi="Tahoma" w:hint="default"/>
        <w:b/>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nsid w:val="76D937C7"/>
    <w:multiLevelType w:val="hybridMultilevel"/>
    <w:tmpl w:val="072A224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7"/>
  </w:num>
  <w:num w:numId="5">
    <w:abstractNumId w:val="15"/>
  </w:num>
  <w:num w:numId="6">
    <w:abstractNumId w:val="4"/>
  </w:num>
  <w:num w:numId="7">
    <w:abstractNumId w:val="9"/>
  </w:num>
  <w:num w:numId="8">
    <w:abstractNumId w:val="14"/>
  </w:num>
  <w:num w:numId="9">
    <w:abstractNumId w:val="8"/>
  </w:num>
  <w:num w:numId="10">
    <w:abstractNumId w:val="5"/>
  </w:num>
  <w:num w:numId="11">
    <w:abstractNumId w:val="0"/>
  </w:num>
  <w:num w:numId="12">
    <w:abstractNumId w:val="3"/>
  </w:num>
  <w:num w:numId="13">
    <w:abstractNumId w:val="17"/>
  </w:num>
  <w:num w:numId="14">
    <w:abstractNumId w:val="13"/>
  </w:num>
  <w:num w:numId="15">
    <w:abstractNumId w:val="1"/>
  </w:num>
  <w:num w:numId="16">
    <w:abstractNumId w:val="6"/>
  </w:num>
  <w:num w:numId="17">
    <w:abstractNumId w:val="10"/>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AD08AD"/>
    <w:rsid w:val="0012247F"/>
    <w:rsid w:val="001F77DB"/>
    <w:rsid w:val="002213F7"/>
    <w:rsid w:val="002457D1"/>
    <w:rsid w:val="0025143D"/>
    <w:rsid w:val="00310B74"/>
    <w:rsid w:val="00372B26"/>
    <w:rsid w:val="00386E82"/>
    <w:rsid w:val="004077D4"/>
    <w:rsid w:val="004F2BA2"/>
    <w:rsid w:val="005161AA"/>
    <w:rsid w:val="005F0E2E"/>
    <w:rsid w:val="0070633F"/>
    <w:rsid w:val="00733E1F"/>
    <w:rsid w:val="008326D9"/>
    <w:rsid w:val="009042C5"/>
    <w:rsid w:val="00A704A4"/>
    <w:rsid w:val="00AB0475"/>
    <w:rsid w:val="00AD08AD"/>
    <w:rsid w:val="00C9053C"/>
    <w:rsid w:val="00F0032F"/>
    <w:rsid w:val="00F93F8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8A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D08AD"/>
    <w:pPr>
      <w:spacing w:after="120"/>
    </w:pPr>
    <w:rPr>
      <w:sz w:val="16"/>
      <w:szCs w:val="16"/>
      <w:lang w:val="es-PE"/>
    </w:rPr>
  </w:style>
  <w:style w:type="character" w:customStyle="1" w:styleId="Textoindependiente3Car">
    <w:name w:val="Texto independiente 3 Car"/>
    <w:basedOn w:val="Fuentedeprrafopredeter"/>
    <w:link w:val="Textoindependiente3"/>
    <w:rsid w:val="00AD08AD"/>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D08AD"/>
    <w:pPr>
      <w:jc w:val="both"/>
    </w:pPr>
    <w:rPr>
      <w:rFonts w:ascii="Tahoma" w:hAnsi="Tahoma"/>
      <w:sz w:val="22"/>
      <w:szCs w:val="20"/>
    </w:rPr>
  </w:style>
  <w:style w:type="paragraph" w:styleId="Prrafodelista">
    <w:name w:val="List Paragraph"/>
    <w:basedOn w:val="Normal"/>
    <w:uiPriority w:val="34"/>
    <w:qFormat/>
    <w:rsid w:val="00AD08AD"/>
    <w:pPr>
      <w:widowControl w:val="0"/>
      <w:suppressAutoHyphens/>
      <w:ind w:left="708"/>
    </w:pPr>
    <w:rPr>
      <w:szCs w:val="20"/>
      <w:lang w:val="es-ES_tradnl"/>
    </w:rPr>
  </w:style>
  <w:style w:type="paragraph" w:styleId="Textonotapie">
    <w:name w:val="footnote text"/>
    <w:aliases w:val="Car,Car Car Car,Car4, Car,Texto nota pie1, Car4,Body Text,Texto independiente1,Car Car Car Car Car,Texto independiente2, Car1 Car,Car1 Car, Car2 Car Car Car Car Car, Car2 Car Car, Car2 Car Car Car Car Car Car, Car2 Car1 Car, Car Car Car"/>
    <w:basedOn w:val="Normal"/>
    <w:link w:val="TextonotapieCar"/>
    <w:rsid w:val="00AD08AD"/>
    <w:rPr>
      <w:sz w:val="20"/>
      <w:szCs w:val="20"/>
    </w:rPr>
  </w:style>
  <w:style w:type="character" w:customStyle="1" w:styleId="TextonotapieCar">
    <w:name w:val="Texto nota pie Car"/>
    <w:aliases w:val="Car Car,Car Car Car Car,Car4 Car, Car Car,Texto nota pie1 Car, Car4 Car,Body Text Car,Texto independiente1 Car,Car Car Car Car Car Car,Texto independiente2 Car, Car1 Car Car,Car1 Car Car, Car2 Car Car Car Car Car Car1, Car Car Car Car"/>
    <w:basedOn w:val="Fuentedeprrafopredeter"/>
    <w:link w:val="Textonotapie"/>
    <w:rsid w:val="00AD08AD"/>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AD08AD"/>
    <w:rPr>
      <w:rFonts w:cs="Times New Roman"/>
      <w:vertAlign w:val="superscript"/>
    </w:rPr>
  </w:style>
  <w:style w:type="table" w:styleId="Tablaconcuadrcula">
    <w:name w:val="Table Grid"/>
    <w:basedOn w:val="Tablanormal"/>
    <w:uiPriority w:val="59"/>
    <w:rsid w:val="00AD08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ennegrita">
    <w:name w:val="Strong"/>
    <w:basedOn w:val="Fuentedeprrafopredeter"/>
    <w:qFormat/>
    <w:rsid w:val="00AD08AD"/>
    <w:rPr>
      <w:b/>
      <w:bCs/>
    </w:rPr>
  </w:style>
  <w:style w:type="paragraph" w:styleId="Encabezado">
    <w:name w:val="header"/>
    <w:aliases w:val="maria,h"/>
    <w:basedOn w:val="Normal"/>
    <w:link w:val="EncabezadoCar"/>
    <w:uiPriority w:val="99"/>
    <w:semiHidden/>
    <w:unhideWhenUsed/>
    <w:rsid w:val="0070633F"/>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70633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semiHidden/>
    <w:unhideWhenUsed/>
    <w:rsid w:val="0070633F"/>
    <w:pPr>
      <w:tabs>
        <w:tab w:val="center" w:pos="4252"/>
        <w:tab w:val="right" w:pos="8504"/>
      </w:tabs>
    </w:pPr>
  </w:style>
  <w:style w:type="character" w:customStyle="1" w:styleId="PiedepginaCar">
    <w:name w:val="Pie de página Car"/>
    <w:basedOn w:val="Fuentedeprrafopredeter"/>
    <w:link w:val="Piedepgina"/>
    <w:uiPriority w:val="99"/>
    <w:semiHidden/>
    <w:rsid w:val="0070633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58669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19</Pages>
  <Words>6457</Words>
  <Characters>35515</Characters>
  <Application>Microsoft Office Word</Application>
  <DocSecurity>0</DocSecurity>
  <Lines>295</Lines>
  <Paragraphs>83</Paragraphs>
  <ScaleCrop>false</ScaleCrop>
  <Company/>
  <LinksUpToDate>false</LinksUpToDate>
  <CharactersWithSpaces>41889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12</cp:revision>
  <cp:lastPrinted>2011-07-20T21:47:00Z</cp:lastPrinted>
  <dcterms:created xsi:type="dcterms:W3CDTF">2011-07-20T17:58:00Z</dcterms:created>
  <dcterms:modified xsi:type="dcterms:W3CDTF">2011-08-24T14:14:00Z</dcterms:modified>
</cp:coreProperties>
</file>